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F46E5"/>
          <w:sz w:val="26"/>
          <w:szCs w:val="26"/>
        </w:rPr>
        <w:t xml:space="preserve">EQUITEX</w:t>
      </w:r>
      <w:r>
        <w:rPr>
          <w:b/>
          <w:bCs/>
          <w:color w:val="667085"/>
          <w:sz w:val="20"/>
          <w:szCs w:val="20"/>
        </w:rPr>
        <w:t xml:space="preserve">  ·  MARKET RESEARCH</w:t>
      </w:r>
    </w:p>
    <w:p>
      <w:pPr>
        <w:spacing w:after="60"/>
      </w:pPr>
      <w:r>
        <w:rPr>
          <w:b/>
          <w:bCs/>
          <w:color w:val="1F2A44"/>
          <w:sz w:val="30"/>
          <w:szCs w:val="30"/>
        </w:rPr>
        <w:t xml:space="preserve">The Indian Retail-Investing Tools Market: How the Players Actually Make Money</w:t>
      </w:r>
    </w:p>
    <w:p>
      <w:pPr>
        <w:spacing w:after="200"/>
      </w:pPr>
      <w:r>
        <w:rPr>
          <w:i/>
          <w:iCs/>
          <w:color w:val="667085"/>
          <w:sz w:val="20"/>
          <w:szCs w:val="20"/>
        </w:rPr>
        <w:t xml:space="preserve">Competitive analysis &amp; strategic positioning · July 2026</w:t>
      </w:r>
    </w:p>
    <w:p>
      <w:pPr>
        <w:pBdr>
          <w:bottom w:val="single" w:color="D0D5DD" w:sz="6"/>
        </w:pBdr>
        <w:spacing w:after="160" w:before="40"/>
      </w:pPr>
      <w:r>
        <w:t xml:space="preserve"/>
      </w:r>
    </w:p>
    <w:p>
      <w:pPr>
        <w:pStyle w:val="Heading1"/>
        <w:spacing w:after="120" w:before="260"/>
      </w:pPr>
      <w:r>
        <w:rPr>
          <w:b/>
          <w:bCs/>
          <w:color w:val="1F2A44"/>
        </w:rPr>
        <w:t xml:space="preserve">Executive summary</w:t>
      </w:r>
    </w:p>
    <w:p>
      <w:pPr>
        <w:spacing w:after="130" w:line="276"/>
      </w:pPr>
      <w:r>
        <w:rPr>
          <w:b/>
          <w:bCs/>
          <w:sz w:val="21"/>
          <w:szCs w:val="21"/>
        </w:rPr>
        <w:t xml:space="preserve">The single most important finding: </w:t>
      </w:r>
      <w:r>
        <w:rPr>
          <w:sz w:val="21"/>
          <w:szCs w:val="21"/>
        </w:rPr>
        <w:t xml:space="preserve">almost none of the durable companies in this market make their core money from “our stock picks win.” That is the tipster model — the smallest, riskiest, and most SEBI-exposed slice. The real, repeatable revenue sits in three other places: order-flow / broker economics, marketplace cuts of other advisors, and tool subscriptions sold as daily-use utility rather than predictions.</w:t>
      </w:r>
    </w:p>
    <w:p>
      <w:pPr>
        <w:spacing w:after="130" w:line="276"/>
      </w:pPr>
      <w:r>
        <w:rPr>
          <w:sz w:val="21"/>
          <w:szCs w:val="21"/>
        </w:rPr>
        <w:t xml:space="preserve">For a non-SEBI-registered operator, the viable lane is unambiguous: a </w:t>
      </w:r>
      <w:r>
        <w:rPr>
          <w:b/>
          <w:bCs/>
          <w:sz w:val="21"/>
          <w:szCs w:val="21"/>
        </w:rPr>
        <w:t xml:space="preserve">tool with a signature metric + free education/content + engagement hooks</w:t>
      </w:r>
      <w:r>
        <w:rPr>
          <w:sz w:val="21"/>
          <w:szCs w:val="21"/>
        </w:rPr>
        <w:t xml:space="preserve">. Every registration-free winner is built this way; every “trade calls” player (Univest, StockGro calls) is SEBI-registered.</w:t>
      </w:r>
    </w:p>
    <w:p>
      <w:pPr>
        <w:pStyle w:val="Heading1"/>
        <w:spacing w:after="120" w:before="260"/>
      </w:pPr>
      <w:r>
        <w:rPr>
          <w:b/>
          <w:bCs/>
          <w:color w:val="1F2A44"/>
        </w:rPr>
        <w:t xml:space="preserve">The competitive landscape</w:t>
      </w:r>
    </w:p>
    <w:p>
      <w:pPr>
        <w:spacing w:after="130" w:line="276"/>
      </w:pPr>
      <w:r>
        <w:rPr>
          <w:sz w:val="21"/>
          <w:szCs w:val="21"/>
        </w:rPr>
        <w:t xml:space="preserve">Current pricing and — more importantly — what each company actually sells and how it earns:</w:t>
      </w:r>
    </w:p>
    <w:tbl>
      <w:tblPr>
        <w:tblW w:type="dxa" w:w="8440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1"/>
          <w:insideV w:val="single" w:color="D0D5DD" w:sz="1"/>
        </w:tblBorders>
      </w:tblPr>
      <w:tblGrid>
        <w:gridCol w:w="1500"/>
        <w:gridCol w:w="1150"/>
        <w:gridCol w:w="2650"/>
        <w:gridCol w:w="314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1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265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really is</w:t>
            </w:r>
          </w:p>
        </w:tc>
        <w:tc>
          <w:tcPr>
            <w:tcW w:type="dxa" w:w="3140"/>
            <w:shd w:fill="1F2A4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it makes money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2A44"/>
                <w:sz w:val="18"/>
                <w:szCs w:val="18"/>
              </w:rPr>
              <w:t xml:space="preserve">Screener.in</w:t>
            </w:r>
          </w:p>
        </w:tc>
        <w:tc>
          <w:tcPr>
            <w:tcW w:type="dxa" w:w="11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01828"/>
                <w:sz w:val="18"/>
                <w:szCs w:val="18"/>
              </w:rPr>
              <w:t xml:space="preserve">Rs 4,999/yr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01828"/>
                <w:sz w:val="18"/>
                <w:szCs w:val="18"/>
              </w:rPr>
              <w:t xml:space="preserve">Fundamental screener / tool</w:t>
            </w:r>
          </w:p>
        </w:tc>
        <w:tc>
          <w:tcPr>
            <w:tcW w:type="dxa" w:w="31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01828"/>
                <w:sz w:val="18"/>
                <w:szCs w:val="18"/>
              </w:rPr>
              <w:t xml:space="preserve">Direct subscription; lean, famously profitable</w:t>
            </w:r>
          </w:p>
        </w:tc>
      </w:tr>
      <w:tr>
        <w:tc>
          <w:tcPr>
            <w:tcW w:type="dxa" w:w="1500"/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2A44"/>
                <w:sz w:val="18"/>
                <w:szCs w:val="18"/>
              </w:rPr>
              <w:t xml:space="preserve">Tickertape</w:t>
            </w:r>
          </w:p>
        </w:tc>
        <w:tc>
          <w:tcPr>
            <w:tcW w:type="dxa" w:w="1150"/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01828"/>
                <w:sz w:val="18"/>
                <w:szCs w:val="18"/>
              </w:rPr>
              <w:t xml:space="preserve">~Rs 1,499/yr</w:t>
            </w:r>
          </w:p>
        </w:tc>
        <w:tc>
          <w:tcPr>
            <w:tcW w:type="dxa" w:w="2650"/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01828"/>
                <w:sz w:val="18"/>
                <w:szCs w:val="18"/>
              </w:rPr>
              <w:t xml:space="preserve">Analytics terminal</w:t>
            </w:r>
          </w:p>
        </w:tc>
        <w:tc>
          <w:tcPr>
            <w:tcW w:type="dxa" w:w="3140"/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01828"/>
                <w:sz w:val="18"/>
                <w:szCs w:val="18"/>
              </w:rPr>
              <w:t xml:space="preserve">Subscription + owned by Smallcase (funnel)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2A44"/>
                <w:sz w:val="18"/>
                <w:szCs w:val="18"/>
              </w:rPr>
              <w:t xml:space="preserve">Trendlyne</w:t>
            </w:r>
          </w:p>
        </w:tc>
        <w:tc>
          <w:tcPr>
            <w:tcW w:type="dxa" w:w="11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01828"/>
                <w:sz w:val="18"/>
                <w:szCs w:val="18"/>
              </w:rPr>
              <w:t xml:space="preserve">Rs 310/mo-5,900/yr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01828"/>
                <w:sz w:val="18"/>
                <w:szCs w:val="18"/>
              </w:rPr>
              <w:t xml:space="preserve">Screener + proprietary DVM score</w:t>
            </w:r>
          </w:p>
        </w:tc>
        <w:tc>
          <w:tcPr>
            <w:tcW w:type="dxa" w:w="31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01828"/>
                <w:sz w:val="18"/>
                <w:szCs w:val="18"/>
              </w:rPr>
              <w:t xml:space="preserve">Subscription; SEBI-registered</w:t>
            </w:r>
          </w:p>
        </w:tc>
      </w:tr>
      <w:tr>
        <w:tc>
          <w:tcPr>
            <w:tcW w:type="dxa" w:w="1500"/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2A44"/>
                <w:sz w:val="18"/>
                <w:szCs w:val="18"/>
              </w:rPr>
              <w:t xml:space="preserve">Smallcase</w:t>
            </w:r>
          </w:p>
        </w:tc>
        <w:tc>
          <w:tcPr>
            <w:tcW w:type="dxa" w:w="1150"/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01828"/>
                <w:sz w:val="18"/>
                <w:szCs w:val="18"/>
              </w:rPr>
              <w:t xml:space="preserve">~free to user</w:t>
            </w:r>
          </w:p>
        </w:tc>
        <w:tc>
          <w:tcPr>
            <w:tcW w:type="dxa" w:w="2650"/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01828"/>
                <w:sz w:val="18"/>
                <w:szCs w:val="18"/>
              </w:rPr>
              <w:t xml:space="preserve">Marketplace of model portfolios</w:t>
            </w:r>
          </w:p>
        </w:tc>
        <w:tc>
          <w:tcPr>
            <w:tcW w:type="dxa" w:w="3140"/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01828"/>
                <w:sz w:val="18"/>
                <w:szCs w:val="18"/>
              </w:rPr>
              <w:t xml:space="preserve">Rs 106 Cr FY25; ~70% from a 20% cut of advisors' fees + broker rev-share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2A44"/>
                <w:sz w:val="18"/>
                <w:szCs w:val="18"/>
              </w:rPr>
              <w:t xml:space="preserve">Sensibull</w:t>
            </w:r>
          </w:p>
        </w:tc>
        <w:tc>
          <w:tcPr>
            <w:tcW w:type="dxa" w:w="11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01828"/>
                <w:sz w:val="18"/>
                <w:szCs w:val="18"/>
              </w:rPr>
              <w:t xml:space="preserve">Free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01828"/>
                <w:sz w:val="18"/>
                <w:szCs w:val="18"/>
              </w:rPr>
              <w:t xml:space="preserve">Options tool</w:t>
            </w:r>
          </w:p>
        </w:tc>
        <w:tc>
          <w:tcPr>
            <w:tcW w:type="dxa" w:w="31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01828"/>
                <w:sz w:val="18"/>
                <w:szCs w:val="18"/>
              </w:rPr>
              <w:t xml:space="preserve">Killed subscriptions; Zerodha funds it via order flow</w:t>
            </w:r>
          </w:p>
        </w:tc>
      </w:tr>
      <w:tr>
        <w:tc>
          <w:tcPr>
            <w:tcW w:type="dxa" w:w="1500"/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2A44"/>
                <w:sz w:val="18"/>
                <w:szCs w:val="18"/>
              </w:rPr>
              <w:t xml:space="preserve">StockGro</w:t>
            </w:r>
          </w:p>
        </w:tc>
        <w:tc>
          <w:tcPr>
            <w:tcW w:type="dxa" w:w="1150"/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01828"/>
                <w:sz w:val="18"/>
                <w:szCs w:val="18"/>
              </w:rPr>
              <w:t xml:space="preserve">Freemium + Plus</w:t>
            </w:r>
          </w:p>
        </w:tc>
        <w:tc>
          <w:tcPr>
            <w:tcW w:type="dxa" w:w="2650"/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01828"/>
                <w:sz w:val="18"/>
                <w:szCs w:val="18"/>
              </w:rPr>
              <w:t xml:space="preserve">Social / paper-trading community</w:t>
            </w:r>
          </w:p>
        </w:tc>
        <w:tc>
          <w:tcPr>
            <w:tcW w:type="dxa" w:w="3140"/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01828"/>
                <w:sz w:val="18"/>
                <w:szCs w:val="18"/>
              </w:rPr>
              <w:t xml:space="preserve">Rs 126 Cr FY25; gamified community funnels to subscriptions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2A44"/>
                <w:sz w:val="18"/>
                <w:szCs w:val="18"/>
              </w:rPr>
              <w:t xml:space="preserve">Univest</w:t>
            </w:r>
          </w:p>
        </w:tc>
        <w:tc>
          <w:tcPr>
            <w:tcW w:type="dxa" w:w="11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01828"/>
                <w:sz w:val="18"/>
                <w:szCs w:val="18"/>
              </w:rPr>
              <w:t xml:space="preserve">Rs 6/day</w:t>
            </w:r>
          </w:p>
        </w:tc>
        <w:tc>
          <w:tcPr>
            <w:tcW w:type="dxa" w:w="2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01828"/>
                <w:sz w:val="18"/>
                <w:szCs w:val="18"/>
              </w:rPr>
              <w:t xml:space="preserve">SEBI-registered advisory</w:t>
            </w:r>
          </w:p>
        </w:tc>
        <w:tc>
          <w:tcPr>
            <w:tcW w:type="dxa" w:w="31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01828"/>
                <w:sz w:val="18"/>
                <w:szCs w:val="18"/>
              </w:rPr>
              <w:t xml:space="preserve">Advisory subscription (they ARE registered)</w:t>
            </w:r>
          </w:p>
        </w:tc>
      </w:tr>
      <w:tr>
        <w:tc>
          <w:tcPr>
            <w:tcW w:type="dxa" w:w="1500"/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F2A44"/>
                <w:sz w:val="18"/>
                <w:szCs w:val="18"/>
              </w:rPr>
              <w:t xml:space="preserve">Zerodha Varsity</w:t>
            </w:r>
          </w:p>
        </w:tc>
        <w:tc>
          <w:tcPr>
            <w:tcW w:type="dxa" w:w="1150"/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01828"/>
                <w:sz w:val="18"/>
                <w:szCs w:val="18"/>
              </w:rPr>
              <w:t xml:space="preserve">Free</w:t>
            </w:r>
          </w:p>
        </w:tc>
        <w:tc>
          <w:tcPr>
            <w:tcW w:type="dxa" w:w="2650"/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01828"/>
                <w:sz w:val="18"/>
                <w:szCs w:val="18"/>
              </w:rPr>
              <w:t xml:space="preserve">Education</w:t>
            </w:r>
          </w:p>
        </w:tc>
        <w:tc>
          <w:tcPr>
            <w:tcW w:type="dxa" w:w="3140"/>
            <w:shd w:fill="F2F4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01828"/>
                <w:sz w:val="18"/>
                <w:szCs w:val="18"/>
              </w:rPr>
              <w:t xml:space="preserve">Feeds Rs 1L-Cr brokerage; 10M users, Rs 0 ad spend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20" w:before="260"/>
      </w:pPr>
      <w:r>
        <w:rPr>
          <w:b/>
          <w:bCs/>
          <w:color w:val="1F2A44"/>
        </w:rPr>
        <w:t xml:space="preserve">How they make money — three durable models</w:t>
      </w:r>
    </w:p>
    <w:p>
      <w:pPr>
        <w:pStyle w:val="Heading2"/>
        <w:spacing w:after="120" w:before="260"/>
      </w:pPr>
      <w:r>
        <w:rPr>
          <w:b/>
          <w:bCs/>
          <w:color w:val="4F46E5"/>
        </w:rPr>
        <w:t xml:space="preserve">1. Order flow / broker economics (the bedrock)</w:t>
      </w:r>
    </w:p>
    <w:p>
      <w:pPr>
        <w:spacing w:after="130" w:line="276"/>
      </w:pPr>
      <w:r>
        <w:rPr>
          <w:sz w:val="21"/>
          <w:szCs w:val="21"/>
        </w:rPr>
        <w:t xml:space="preserve">The largest, steadiest pool. </w:t>
      </w:r>
      <w:r>
        <w:rPr>
          <w:b/>
          <w:bCs/>
          <w:sz w:val="21"/>
          <w:szCs w:val="21"/>
        </w:rPr>
        <w:t xml:space="preserve">Sensibull is the industry’s tell: </w:t>
      </w:r>
      <w:r>
        <w:rPr>
          <w:sz w:val="21"/>
          <w:szCs w:val="21"/>
        </w:rPr>
        <w:t xml:space="preserve">it ran a paid options tool, found subscription revenue too unpredictable, abandoned subscriptions entirely, and let Zerodha fund it because brokerage order flow is steadier. The whole industry quietly agrees that feature-subscriptions are shaky and broker money is the floor.</w:t>
      </w:r>
    </w:p>
    <w:p>
      <w:pPr>
        <w:pStyle w:val="Heading2"/>
        <w:spacing w:after="120" w:before="260"/>
      </w:pPr>
      <w:r>
        <w:rPr>
          <w:b/>
          <w:bCs/>
          <w:color w:val="4F46E5"/>
        </w:rPr>
        <w:t xml:space="preserve">2. Marketplace cut of other advisors</w:t>
      </w:r>
    </w:p>
    <w:p>
      <w:pPr>
        <w:spacing w:after="130" w:line="276"/>
      </w:pPr>
      <w:r>
        <w:rPr>
          <w:sz w:val="21"/>
          <w:szCs w:val="21"/>
        </w:rPr>
        <w:t xml:space="preserve">Smallcase’s Rs 106 Cr (FY25, +50% YoY, 10M investors, Rs 1.2 lakh Cr transacted) is mostly a 20% slice of OTHER advisors’ subscription fees plus broker revenue-share. They don’t predict markets at all — they are a toll booth between advisors and investors.</w:t>
      </w:r>
    </w:p>
    <w:p>
      <w:pPr>
        <w:pStyle w:val="Heading2"/>
        <w:spacing w:after="120" w:before="260"/>
      </w:pPr>
      <w:r>
        <w:rPr>
          <w:b/>
          <w:bCs/>
          <w:color w:val="4F46E5"/>
        </w:rPr>
        <w:t xml:space="preserve">3. Tool subscription sold as utility</w:t>
      </w:r>
    </w:p>
    <w:p>
      <w:pPr>
        <w:spacing w:after="130" w:line="276"/>
      </w:pPr>
      <w:r>
        <w:rPr>
          <w:sz w:val="21"/>
          <w:szCs w:val="21"/>
        </w:rPr>
        <w:t xml:space="preserve">Screener.in (Rs 4,999/yr), Trendlyne (from Rs 310/mo) and Tickertape sell fundamental data, screeners and proprietary scores users check daily — utility, not predictions. Trendlyne’s DVM score is the model to copy: a branded, memorable metric that becomes a daily habit, never a “buy this” call.</w:t>
      </w:r>
    </w:p>
    <w:p>
      <w:pPr>
        <w:pStyle w:val="Heading1"/>
        <w:spacing w:after="120" w:before="260"/>
      </w:pPr>
      <w:r>
        <w:rPr>
          <w:b/>
          <w:bCs/>
          <w:color w:val="1F2A44"/>
        </w:rPr>
        <w:t xml:space="preserve">What brings people in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Free education / content: </w:t>
      </w:r>
      <w:r>
        <w:rPr>
          <w:sz w:val="21"/>
          <w:szCs w:val="21"/>
        </w:rPr>
        <w:t xml:space="preserve">Zerodha’s Varsity (free education, 1.4M YouTube subs) drove 10M+ customers with Rs 0 ad spend. Education reduces acquisition cost, builds trust, and keeps pulling leads for years.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Community &amp; gamification: </w:t>
      </w:r>
      <w:r>
        <w:rPr>
          <w:sz w:val="21"/>
          <w:szCs w:val="21"/>
        </w:rPr>
        <w:t xml:space="preserve">StockGro built a Rs 126 Cr business largely on free virtual trading, then converted engaged users. Risk-free play is a powerful pre-payment loop.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Free useful tool tier: </w:t>
      </w:r>
      <w:r>
        <w:rPr>
          <w:sz w:val="21"/>
          <w:szCs w:val="21"/>
        </w:rPr>
        <w:t xml:space="preserve">A genuinely great free screener made Screener.in the default tool for a generation; the paid tier is an easy upsell once users are hooked.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Telegram distribution: </w:t>
      </w:r>
      <w:r>
        <w:rPr>
          <w:sz w:val="21"/>
          <w:szCs w:val="21"/>
        </w:rPr>
        <w:t xml:space="preserve">India was the #1 Telegram market (~100M installs in 2024). It is where nearly every funnel in this space begins.</w:t>
      </w:r>
    </w:p>
    <w:p>
      <w:pPr>
        <w:pStyle w:val="Heading1"/>
        <w:spacing w:after="120" w:before="260"/>
      </w:pPr>
      <w:r>
        <w:rPr>
          <w:b/>
          <w:bCs/>
          <w:color w:val="1F2A44"/>
        </w:rPr>
        <w:t xml:space="preserve">Strategic implications for Equitex</w:t>
      </w:r>
    </w:p>
    <w:p>
      <w:pPr>
        <w:spacing w:after="130" w:line="276"/>
      </w:pPr>
      <w:r>
        <w:rPr>
          <w:sz w:val="21"/>
          <w:szCs w:val="21"/>
        </w:rPr>
        <w:t xml:space="preserve">Building “an AI that picks winners” aims at the smallest, most dangerous box on the table — the one requiring SEBI registration. The registration-free winning formula is: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1. Signature metric: </w:t>
      </w:r>
      <w:r>
        <w:rPr>
          <w:sz w:val="21"/>
          <w:szCs w:val="21"/>
        </w:rPr>
        <w:t xml:space="preserve">Reposition Equitex as a tool with a signature metric — the Equitex Score — the way Trendlyne owns DVM. A number people check daily and renew for because they USE it.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2. Content-led trust: </w:t>
      </w:r>
      <w:r>
        <w:rPr>
          <w:sz w:val="21"/>
          <w:szCs w:val="21"/>
        </w:rPr>
        <w:t xml:space="preserve">Lead acquisition with free education/content, not tips. A weekly “how the screen read the market, wins and losses” post is your Varsity.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3. Engagement hook: </w:t>
      </w:r>
      <w:r>
        <w:rPr>
          <w:sz w:val="21"/>
          <w:szCs w:val="21"/>
        </w:rPr>
        <w:t xml:space="preserve">Add a free, no-risk hook — paper trading / “track this setup” — so users engage daily before they pay (the StockGro loop).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sz w:val="21"/>
          <w:szCs w:val="21"/>
        </w:rPr>
        <w:t xml:space="preserve">4. Transparency as brand: </w:t>
      </w:r>
      <w:r>
        <w:rPr>
          <w:sz w:val="21"/>
          <w:szCs w:val="21"/>
        </w:rPr>
        <w:t xml:space="preserve">Keep the model’s live, honest track record public. Radical transparency — showing the losses — is a genuine differentiator nobody else offers.</w:t>
      </w:r>
    </w:p>
    <w:p>
      <w:pPr>
        <w:pBdr>
          <w:bottom w:val="single" w:color="D0D5DD" w:sz="6"/>
        </w:pBdr>
        <w:spacing w:after="160" w:before="40"/>
      </w:pPr>
      <w:r>
        <w:t xml:space="preserve"/>
      </w:r>
    </w:p>
    <w:p>
      <w:pPr>
        <w:spacing w:after="130" w:line="276"/>
      </w:pPr>
      <w:r>
        <w:rPr>
          <w:b/>
          <w:bCs/>
          <w:sz w:val="20"/>
          <w:szCs w:val="20"/>
        </w:rPr>
        <w:t xml:space="preserve">Compliance note. </w:t>
      </w:r>
      <w:r>
        <w:rPr>
          <w:i/>
          <w:iCs/>
          <w:color w:val="667085"/>
          <w:sz w:val="20"/>
          <w:szCs w:val="20"/>
        </w:rPr>
        <w:t xml:space="preserve">This document is competitive research, not legal or investment advice. Positioning Equitex as an analytics/research tool (no prescriptive buy/sell language) is what keeps it registration-free; have a securities lawyer review final marketing copy before charging.</w:t>
      </w:r>
    </w:p>
    <w:p>
      <w:pPr>
        <w:spacing w:after="130" w:line="276"/>
      </w:pPr>
      <w:r>
        <w:rPr>
          <w:b/>
          <w:bCs/>
          <w:color w:val="667085"/>
          <w:sz w:val="18"/>
          <w:szCs w:val="18"/>
        </w:rPr>
        <w:t xml:space="preserve">Sources: </w:t>
      </w:r>
      <w:r>
        <w:rPr>
          <w:i/>
          <w:iCs/>
          <w:color w:val="667085"/>
          <w:sz w:val="18"/>
          <w:szCs w:val="18"/>
        </w:rPr>
        <w:t xml:space="preserve">Winvesta 2026 screener guide; Strike.money reviews; Stockmaniacs Trendlyne review; Vizologi &amp; Angel One (Smallcase); Zerodha Z-Connect (Sensibull); Inc42 &amp; Tracxn (StockGro); purshology &amp; StartupTalky (Zerodha Varsity).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2026-07-26T05:39:28.683Z</dcterms:created>
  <dcterms:modified xsi:type="dcterms:W3CDTF">2026-07-26T05:39:28.683Z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