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Arial" w:cs="Arial" w:eastAsia="Arial" w:hAnsi="Arial"/>
          <w:caps/>
          <w:color w:val="555555"/>
          <w:sz w:val="22"/>
          <w:szCs w:val="22"/>
        </w:rPr>
        <w:t xml:space="preserve">UNIVERSITÀ DI BOLOGNA</w:t>
      </w:r>
    </w:p>
    <w:p>
      <w:pPr>
        <w:spacing w:after="60"/>
        <w:jc w:val="center"/>
      </w:pPr>
      <w:r>
        <w:rPr>
          <w:rFonts w:ascii="Arial" w:cs="Arial" w:eastAsia="Arial" w:hAnsi="Arial"/>
          <w:i/>
          <w:iCs/>
          <w:color w:val="555555"/>
          <w:sz w:val="22"/>
          <w:szCs w:val="22"/>
        </w:rPr>
        <w:t xml:space="preserve">Laurea Magistrale in Informatica</w:t>
      </w:r>
    </w:p>
    <w:p>
      <w:pPr>
        <w:spacing w:after="60"/>
        <w:jc w:val="center"/>
      </w:pPr>
      <w:r>
        <w:rPr>
          <w:rFonts w:ascii="Arial" w:cs="Arial" w:eastAsia="Arial" w:hAnsi="Arial"/>
          <w:color w:val="555555"/>
          <w:sz w:val="22"/>
          <w:szCs w:val="22"/>
        </w:rPr>
        <w:t xml:space="preserve">Human Data Science</w:t>
      </w:r>
    </w:p>
    <w:p>
      <w:pPr>
        <w:spacing w:after="300"/>
      </w:pPr>
    </w:p>
    <w:p>
      <w:pPr>
        <w:pBdr>
          <w:bottom w:val="single" w:color="1F5C99" w:sz="4" w:space="1"/>
        </w:pBdr>
        <w:spacing w:after="0"/>
      </w:pPr>
    </w:p>
    <w:p>
      <w:pPr>
        <w:spacing w:after="60"/>
      </w:pPr>
    </w:p>
    <w:p>
      <w:pPr>
        <w:spacing w:after="120"/>
        <w:jc w:val="center"/>
      </w:pPr>
      <w:r>
        <w:rPr>
          <w:rFonts w:ascii="Arial" w:cs="Arial" w:eastAsia="Arial" w:hAnsi="Arial"/>
          <w:b/>
          <w:bCs/>
          <w:color w:val="1F5C99"/>
          <w:sz w:val="52"/>
          <w:szCs w:val="52"/>
        </w:rPr>
        <w:t xml:space="preserve">Il Paradosso delle STEM:</w:t>
      </w:r>
    </w:p>
    <w:p>
      <w:pPr>
        <w:spacing w:after="80"/>
        <w:jc w:val="center"/>
      </w:pPr>
      <w:r>
        <w:rPr>
          <w:rFonts w:ascii="Arial" w:cs="Arial" w:eastAsia="Arial" w:hAnsi="Arial"/>
          <w:b/>
          <w:bCs/>
          <w:color w:val="1F5C99"/>
          <w:sz w:val="40"/>
          <w:szCs w:val="40"/>
        </w:rPr>
        <w:t xml:space="preserve">Più Brave, Ma Penalizzate</w:t>
      </w:r>
    </w:p>
    <w:p>
      <w:pPr>
        <w:spacing w:after="300"/>
        <w:jc w:val="center"/>
      </w:pPr>
      <w:r>
        <w:rPr>
          <w:rFonts w:ascii="Arial" w:cs="Arial" w:eastAsia="Arial" w:hAnsi="Arial"/>
          <w:i/>
          <w:iCs/>
          <w:color w:val="555555"/>
          <w:sz w:val="26"/>
          <w:szCs w:val="26"/>
        </w:rPr>
        <w:t xml:space="preserve">Un'analisi del Gender Gap nei percorsi STEM e nel mercato del lavoro italiano</w:t>
      </w:r>
    </w:p>
    <w:p>
      <w:pPr>
        <w:spacing w:after="60"/>
      </w:pPr>
    </w:p>
    <w:p>
      <w:pPr>
        <w:pBdr>
          <w:bottom w:val="single" w:color="1F5C99" w:sz="4" w:space="1"/>
        </w:pBdr>
        <w:spacing w:after="0"/>
      </w:pPr>
    </w:p>
    <w:p>
      <w:pPr>
        <w:spacing w:after="400"/>
      </w:pPr>
    </w:p>
    <w:p>
      <w:pPr>
        <w:spacing w:after="80"/>
        <w:jc w:val="center"/>
      </w:pPr>
      <w:r>
        <w:rPr>
          <w:rFonts w:ascii="Arial" w:cs="Arial" w:eastAsia="Arial" w:hAnsi="Arial"/>
          <w:color w:val="555555"/>
          <w:sz w:val="22"/>
          <w:szCs w:val="22"/>
        </w:rPr>
        <w:t xml:space="preserve">Progetto di gruppo — Human Data Science</w:t>
      </w:r>
    </w:p>
    <w:p>
      <w:pPr>
        <w:spacing w:after="80"/>
        <w:jc w:val="center"/>
      </w:pPr>
      <w:r>
        <w:rPr>
          <w:rFonts w:ascii="Arial" w:cs="Arial" w:eastAsia="Arial" w:hAnsi="Arial"/>
          <w:color w:val="555555"/>
          <w:sz w:val="22"/>
          <w:szCs w:val="22"/>
        </w:rPr>
        <w:t xml:space="preserve">Anno Accademico 2024/2025</w:t>
      </w:r>
    </w:p>
    <w:p>
      <w:pPr>
        <w:spacing w:after="50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1. Introduzione e Motivazione</w:t>
      </w:r>
    </w:p>
    <w:p>
      <w:pPr>
        <w:spacing w:after="160"/>
        <w:jc w:val="both"/>
      </w:pPr>
      <w:r>
        <w:rPr>
          <w:rFonts w:ascii="Arial" w:cs="Arial" w:eastAsia="Arial" w:hAnsi="Arial"/>
          <w:color w:val="1A1A1A"/>
          <w:sz w:val="22"/>
          <w:szCs w:val="22"/>
        </w:rPr>
        <w:t xml:space="preserve">Nel 2024, in Italia, una donna laureata in Informatica con voto 107.9 su 110 guadagna in media 292 euro al mese in meno di un suo collega uomo che ha ottenuto 102.3. Non è un caso isolato: è il dato medio, aggregato su decine di migliaia di laureati, pubblicato dal Consorzio AlmaLaurea nel suo Focus Gender Gap 2024.</w:t>
      </w:r>
    </w:p>
    <w:p>
      <w:pPr>
        <w:spacing w:after="80"/>
      </w:pPr>
    </w:p>
    <w:p>
      <w:pPr>
        <w:spacing w:after="160"/>
        <w:jc w:val="both"/>
      </w:pPr>
      <w:r>
        <w:rPr>
          <w:rFonts w:ascii="Arial" w:cs="Arial" w:eastAsia="Arial" w:hAnsi="Arial"/>
          <w:color w:val="1A1A1A"/>
          <w:sz w:val="22"/>
          <w:szCs w:val="22"/>
        </w:rPr>
        <w:t xml:space="preserve">Questo progetto nasce da una domanda semplice: le donne che scelgono percorsi universitari scientifici e tecnologici vengono trattate equamente nel mondo del lavoro? La risposta, come mostreremo, è no — ma la storia dietro quel 'no' è più sfumata, e più umana, di quanto un semplice numero possa suggerire.</w:t>
      </w:r>
    </w:p>
    <w:p>
      <w:pPr>
        <w:spacing w:after="80"/>
      </w:pPr>
    </w:p>
    <w:p>
      <w:pPr>
        <w:spacing w:after="160"/>
        <w:jc w:val="both"/>
      </w:pPr>
      <w:r>
        <w:rPr>
          <w:rFonts w:ascii="Arial" w:cs="Arial" w:eastAsia="Arial" w:hAnsi="Arial"/>
          <w:color w:val="1A1A1A"/>
          <w:sz w:val="22"/>
          <w:szCs w:val="22"/>
        </w:rPr>
        <w:t xml:space="preserve">L'analisi si sviluppa in tre atti che ricalcano il percorso di vita di una laureata italiana: il momento della scelta universitaria e i risultati accademici, l'ingresso nel mercato del lavoro, e infine la situazione a cinque anni dalla laurea — quando i figli, le aspettative sociali e i meccanismi strutturali del mercato del lavoro hanno avuto il tempo di agire.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60"/>
              <w:left w:type="dxa" w:w="220"/>
              <w:bottom w:type="dxa" w:w="160"/>
              <w:right w:type="dxa" w:w="220"/>
            </w:tcMar>
          </w:tcPr>
          <w:p>
            <w:pPr>
              <w:spacing w:after="80"/>
            </w:pPr>
            <w:r>
              <w:rPr>
                <w:rFonts w:ascii="Arial" w:cs="Arial" w:eastAsia="Arial" w:hAnsi="Arial"/>
                <w:b/>
                <w:bCs/>
                <w:color w:val="1A1A1A"/>
                <w:sz w:val="22"/>
                <w:szCs w:val="22"/>
              </w:rPr>
              <w:t xml:space="preserve">La domanda di ricerca</w:t>
            </w:r>
          </w:p>
          <w:p>
            <w:pPr>
              <w:spacing w:after="60"/>
              <w:jc w:val="both"/>
            </w:pPr>
            <w:r>
              <w:rPr>
                <w:rFonts w:ascii="Arial" w:cs="Arial" w:eastAsia="Arial" w:hAnsi="Arial"/>
                <w:color w:val="1A1A1A"/>
                <w:sz w:val="21"/>
                <w:szCs w:val="21"/>
              </w:rPr>
              <w:t xml:space="preserve">Il gap salariale di genere nelle discipline STEM italiane è un effetto della scelta</w:t>
            </w:r>
          </w:p>
          <w:p>
            <w:pPr>
              <w:spacing w:after="60"/>
              <w:jc w:val="both"/>
            </w:pPr>
            <w:r>
              <w:rPr>
                <w:rFonts w:ascii="Arial" w:cs="Arial" w:eastAsia="Arial" w:hAnsi="Arial"/>
                <w:color w:val="1A1A1A"/>
                <w:sz w:val="21"/>
                <w:szCs w:val="21"/>
              </w:rPr>
              <w:t xml:space="preserve">della facoltà, dell'area geografica in cui si lavora, del voto ottenuto — oppure</w:t>
            </w:r>
          </w:p>
          <w:p>
            <w:pPr>
              <w:spacing w:after="60"/>
              <w:jc w:val="both"/>
            </w:pPr>
            <w:r>
              <w:rPr>
                <w:rFonts w:ascii="Arial" w:cs="Arial" w:eastAsia="Arial" w:hAnsi="Arial"/>
                <w:color w:val="1A1A1A"/>
                <w:sz w:val="21"/>
                <w:szCs w:val="21"/>
              </w:rPr>
              <w:t xml:space="preserve">esiste una componente strutturale che penalizza le donne indipendentemente da tutti</w:t>
            </w:r>
          </w:p>
          <w:p>
            <w:pPr>
              <w:spacing w:after="60"/>
              <w:jc w:val="both"/>
            </w:pPr>
            <w:r>
              <w:rPr>
                <w:rFonts w:ascii="Arial" w:cs="Arial" w:eastAsia="Arial" w:hAnsi="Arial"/>
                <w:color w:val="1A1A1A"/>
                <w:sz w:val="21"/>
                <w:szCs w:val="21"/>
              </w:rPr>
              <w:t xml:space="preserve">questi fattori? E se sì, di quanto?</w:t>
            </w:r>
          </w:p>
        </w:tc>
      </w:tr>
    </w:tbl>
    <w:p>
      <w:pPr>
        <w:spacing w:after="160"/>
      </w:pPr>
    </w:p>
    <w:p>
      <w:pPr>
        <w:spacing w:after="160"/>
        <w:jc w:val="both"/>
      </w:pPr>
      <w:r>
        <w:rPr>
          <w:rFonts w:ascii="Arial" w:cs="Arial" w:eastAsia="Arial" w:hAnsi="Arial"/>
          <w:color w:val="1A1A1A"/>
          <w:sz w:val="22"/>
          <w:szCs w:val="22"/>
        </w:rPr>
        <w:t xml:space="preserve">Per rispondere a questa domanda abbiamo combinato due fonti di dati ufficiali — il Ministero dell'Università (MUR) e AlmaLaurea — e applicato una sequenza di tecniche statistiche di complessità crescente, dalla semplice analisi esplorativa fino alla regressione multipla.</w:t>
      </w:r>
    </w:p>
    <w:p>
      <w:pPr>
        <w:spacing w:after="16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2. Gestione dei Dati</w:t>
      </w:r>
    </w:p>
    <w:p>
      <w:pPr>
        <w:pStyle w:val="Heading2"/>
        <w:spacing w:after="160" w:before="320"/>
      </w:pPr>
      <w:r>
        <w:rPr>
          <w:rFonts w:ascii="Arial" w:cs="Arial" w:eastAsia="Arial" w:hAnsi="Arial"/>
          <w:b/>
          <w:bCs/>
          <w:color w:val="1F5C99"/>
          <w:sz w:val="26"/>
          <w:szCs w:val="26"/>
        </w:rPr>
        <w:t xml:space="preserve">2.1 Fonti e acquisizione</w:t>
      </w:r>
    </w:p>
    <w:p>
      <w:pPr>
        <w:spacing w:after="160"/>
        <w:jc w:val="both"/>
      </w:pPr>
      <w:r>
        <w:rPr>
          <w:rFonts w:ascii="Arial" w:cs="Arial" w:eastAsia="Arial" w:hAnsi="Arial"/>
          <w:color w:val="1A1A1A"/>
          <w:sz w:val="22"/>
          <w:szCs w:val="22"/>
        </w:rPr>
        <w:t xml:space="preserve">L'analisi si basa su tre fonti distinte, con livelli di accessibilità e modalità di acquisizione differenti. La trasparenza sulle fonti è un requisito metodologico fondamentale: ogni dato deve essere tracciabile alla sua origine.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000"/>
        <w:gridCol w:w="1726"/>
      </w:tblGrid>
      <w:t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Fonte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 dato</w:t>
            </w:r>
          </w:p>
        </w:tc>
        <w:tc>
          <w:tcPr>
            <w:tcW w:type="dxa" w:w="1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Dimensione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Modalità di acquisizione</w:t>
            </w:r>
          </w:p>
        </w:tc>
        <w:tc>
          <w:tcPr>
            <w:tcW w:type="dxa" w:w="17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URL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MUR — Bilancio di Genere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CSV strutturato, open data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2.877 righe, 8 colonne, anni 2022-2024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Download diretto (nessuna registrazione richiesta)</w:t>
            </w:r>
          </w:p>
        </w:tc>
        <w:tc>
          <w:tcPr>
            <w:tcW w:type="dxa" w:w="1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dati-ustat.mur.gov.it</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 Collettivo specifico</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CSV da export del portale web</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~50 righe aggregate per sezione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Export manuale dall'interfaccia web AlmaLaurea</w:t>
            </w:r>
          </w:p>
        </w:tc>
        <w:tc>
          <w:tcPr>
            <w:tcW w:type="dxa" w:w="1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almalaurea.it/i-dati</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 Focus Gender Gap 2024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PDF report ufficiale annuale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15 gruppi disciplinari, dati per genere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Estrazione manuale dalla Figura 2 del PDF</w:t>
            </w:r>
          </w:p>
        </w:tc>
        <w:tc>
          <w:tcPr>
            <w:tcW w:type="dxa" w:w="1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almalaurea.it (report scaricabile)</w:t>
            </w:r>
          </w:p>
        </w:tc>
      </w:tr>
    </w:tbl>
    <w:p>
      <w:pPr>
        <w:spacing w:after="160"/>
      </w:pPr>
    </w:p>
    <w:p>
      <w:pPr>
        <w:spacing w:after="100" w:before="240"/>
      </w:pPr>
      <w:r>
        <w:rPr>
          <w:rFonts w:ascii="Arial" w:cs="Arial" w:eastAsia="Arial" w:hAnsi="Arial"/>
          <w:b/>
          <w:bCs/>
          <w:color w:val="1A1A1A"/>
          <w:sz w:val="23"/>
          <w:szCs w:val="23"/>
        </w:rPr>
        <w:t xml:space="preserve">Dataset MUR — Bilancio di Genere</w:t>
      </w:r>
    </w:p>
    <w:p>
      <w:pPr>
        <w:spacing w:after="160"/>
        <w:jc w:val="both"/>
      </w:pPr>
      <w:r>
        <w:rPr>
          <w:rFonts w:ascii="Arial" w:cs="Arial" w:eastAsia="Arial" w:hAnsi="Arial"/>
          <w:color w:val="1A1A1A"/>
          <w:sz w:val="22"/>
          <w:szCs w:val="22"/>
        </w:rPr>
        <w:t xml:space="preserve">Il dataset principale proviene dal portale open data del Ministero dell'Università e della Ricerca. Contiene la distribuzione dei laureati italiani per ateneo, regione, fascia di voto ("66-90", "91-100", "101-105", "106-110", "110 e lode") e genere, su una serie triennale 2022-2024. Con 2.877 righe e una copertura di 78 atenei aderenti al Consorzio AlmaLaurea, rappresenta una fonte censuaria — non campionaria — dei laureati italiani. È distribuito sotto licenza Creative Commons CC BY 4.0, liberamente riutilizzabile.</w:t>
      </w:r>
    </w:p>
    <w:p>
      <w:pPr>
        <w:spacing w:after="80"/>
      </w:pPr>
    </w:p>
    <w:p>
      <w:pPr>
        <w:spacing w:after="100" w:before="240"/>
      </w:pPr>
      <w:r>
        <w:rPr>
          <w:rFonts w:ascii="Arial" w:cs="Arial" w:eastAsia="Arial" w:hAnsi="Arial"/>
          <w:b/>
          <w:bCs/>
          <w:color w:val="1A1A1A"/>
          <w:sz w:val="23"/>
          <w:szCs w:val="23"/>
        </w:rPr>
        <w:t xml:space="preserve">Dataset AlmaLaurea — Report aggregato</w:t>
      </w:r>
    </w:p>
    <w:p>
      <w:pPr>
        <w:spacing w:after="160"/>
        <w:jc w:val="both"/>
      </w:pPr>
      <w:r>
        <w:rPr>
          <w:rFonts w:ascii="Arial" w:cs="Arial" w:eastAsia="Arial" w:hAnsi="Arial"/>
          <w:color w:val="1A1A1A"/>
          <w:sz w:val="22"/>
          <w:szCs w:val="22"/>
        </w:rPr>
        <w:t xml:space="preserve">AlmaLaurea non distribuisce pubblicamente i microdati individuali dei laureati. Il portale web offre però un'interfaccia interattiva che permette di estrarre statistiche aggregate selezionando anno di indagine, tipo di corso, gruppo disciplinare e variabile di disaggregazione (es. genere). Il CSV esportato dal portale ha un formato a sezioni — non una tabella standard — e contiene indicatori come salario netto mensile, tasso di occupazione e voto medio per il collettivo selezionato.</w:t>
      </w:r>
    </w:p>
    <w:p>
      <w:pPr>
        <w:spacing w:after="80"/>
      </w:pPr>
    </w:p>
    <w:p>
      <w:pPr>
        <w:spacing w:after="100" w:before="240"/>
      </w:pPr>
      <w:r>
        <w:rPr>
          <w:rFonts w:ascii="Arial" w:cs="Arial" w:eastAsia="Arial" w:hAnsi="Arial"/>
          <w:b/>
          <w:bCs/>
          <w:color w:val="1A1A1A"/>
          <w:sz w:val="23"/>
          <w:szCs w:val="23"/>
        </w:rPr>
        <w:t xml:space="preserve">Focus Gender Gap 2024 — Dati estratti da report</w:t>
      </w:r>
    </w:p>
    <w:p>
      <w:pPr>
        <w:spacing w:after="160"/>
        <w:jc w:val="both"/>
      </w:pPr>
      <w:r>
        <w:rPr>
          <w:rFonts w:ascii="Arial" w:cs="Arial" w:eastAsia="Arial" w:hAnsi="Arial"/>
          <w:color w:val="1A1A1A"/>
          <w:sz w:val="22"/>
          <w:szCs w:val="22"/>
        </w:rPr>
        <w:t xml:space="preserve">Per l'analisi comparativa tra i 15 gruppi disciplinari italiani (paired T-test, correlazione, regressione multipla), i dati di salario e voto disaggregati per genere sono stati estratti manualmente dalla Figura 2 del Focus Gender Gap 2024, il report annuale che AlmaLaurea dedica specificamente alle disuguaglianze di genere. Questa pratica — citare e trascrivere dati da report ufficiali — è metodologicamente corretta e comune in letteratura accademica, a condizione che la fonte sia citata in modo preciso e verificabile. Il report è disponibile gratuitamente sul sito di AlmaLaurea.</w:t>
      </w:r>
    </w:p>
    <w:p>
      <w:pPr>
        <w:spacing w:after="160"/>
      </w:pPr>
    </w:p>
    <w:p>
      <w:pPr>
        <w:pStyle w:val="Heading2"/>
        <w:spacing w:after="160" w:before="320"/>
      </w:pPr>
      <w:r>
        <w:rPr>
          <w:rFonts w:ascii="Arial" w:cs="Arial" w:eastAsia="Arial" w:hAnsi="Arial"/>
          <w:b/>
          <w:bCs/>
          <w:color w:val="1F5C99"/>
          <w:sz w:val="26"/>
          <w:szCs w:val="26"/>
        </w:rPr>
        <w:t xml:space="preserve">2.2 Pulizia e preparazione del dataset MUR</w:t>
      </w:r>
    </w:p>
    <w:p>
      <w:pPr>
        <w:spacing w:after="160"/>
        <w:jc w:val="both"/>
      </w:pPr>
      <w:r>
        <w:rPr>
          <w:rFonts w:ascii="Arial" w:cs="Arial" w:eastAsia="Arial" w:hAnsi="Arial"/>
          <w:color w:val="1A1A1A"/>
          <w:sz w:val="22"/>
          <w:szCs w:val="22"/>
        </w:rPr>
        <w:t xml:space="preserve">Il file CSV del MUR presenta alcune caratteristiche che richiedono attenzione prima di poter essere analizzato.</w:t>
      </w:r>
    </w:p>
    <w:p>
      <w:pPr>
        <w:spacing w:after="80"/>
      </w:pPr>
    </w:p>
    <w:p>
      <w:pPr>
        <w:spacing w:after="100" w:before="240"/>
      </w:pPr>
      <w:r>
        <w:rPr>
          <w:rFonts w:ascii="Arial" w:cs="Arial" w:eastAsia="Arial" w:hAnsi="Arial"/>
          <w:b/>
          <w:bCs/>
          <w:color w:val="1A1A1A"/>
          <w:sz w:val="23"/>
          <w:szCs w:val="23"/>
        </w:rPr>
        <w:t xml:space="preserve">Problema 1 — Encoding non standard</w:t>
      </w:r>
    </w:p>
    <w:p>
      <w:pPr>
        <w:spacing w:after="160"/>
        <w:jc w:val="both"/>
      </w:pPr>
      <w:r>
        <w:rPr>
          <w:rFonts w:ascii="Arial" w:cs="Arial" w:eastAsia="Arial" w:hAnsi="Arial"/>
          <w:color w:val="1A1A1A"/>
          <w:sz w:val="22"/>
          <w:szCs w:val="22"/>
        </w:rPr>
        <w:t xml:space="preserve">Il file usa la codifica latin-1 (ISO 8859-1), non UTF-8 come ci si aspetterebbe da un file moderno. Il tentativo di aprirlo con l'encoding di default di Python genera un errore UnicodeDecodeError. La soluzione è specificare esplicitamente l'encoding nella funzione di lettura: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after="60"/>
              <w:jc w:val="both"/>
            </w:pPr>
            <w:r>
              <w:rPr>
                <w:rFonts w:ascii="Arial" w:cs="Arial" w:eastAsia="Arial" w:hAnsi="Arial"/>
                <w:color w:val="1A1A1A"/>
                <w:sz w:val="21"/>
                <w:szCs w:val="21"/>
              </w:rPr>
              <w:t xml:space="preserve">df = pd.read_csv('bdg_voto_laureati.csv', sep=';', encoding='latin-1')</w:t>
            </w:r>
          </w:p>
        </w:tc>
      </w:tr>
    </w:tbl>
    <w:p>
      <w:pPr>
        <w:spacing w:after="80"/>
      </w:pPr>
    </w:p>
    <w:p>
      <w:pPr>
        <w:spacing w:after="100" w:before="240"/>
      </w:pPr>
      <w:r>
        <w:rPr>
          <w:rFonts w:ascii="Arial" w:cs="Arial" w:eastAsia="Arial" w:hAnsi="Arial"/>
          <w:b/>
          <w:bCs/>
          <w:color w:val="1A1A1A"/>
          <w:sz w:val="23"/>
          <w:szCs w:val="23"/>
        </w:rPr>
        <w:t xml:space="preserve">Problema 2 — Righe aggregate da escludere</w:t>
      </w:r>
    </w:p>
    <w:p>
      <w:pPr>
        <w:spacing w:after="160"/>
        <w:jc w:val="both"/>
      </w:pPr>
      <w:r>
        <w:rPr>
          <w:rFonts w:ascii="Arial" w:cs="Arial" w:eastAsia="Arial" w:hAnsi="Arial"/>
          <w:color w:val="1A1A1A"/>
          <w:sz w:val="22"/>
          <w:szCs w:val="22"/>
        </w:rPr>
        <w:t xml:space="preserve">Il dataset include righe con AteneoNOME = 'TOTALE ATENEI' che rappresentano somme aggregate. Per le analisi per ateneo queste righe vanno escluse per evitare doppi conteggi, mentre per le analisi temporali (trend storici) sono le uniche da tenere: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after="60"/>
              <w:jc w:val="both"/>
            </w:pPr>
            <w:r>
              <w:rPr>
                <w:rFonts w:ascii="Arial" w:cs="Arial" w:eastAsia="Arial" w:hAnsi="Arial"/>
                <w:color w:val="1A1A1A"/>
                <w:sz w:val="21"/>
                <w:szCs w:val="21"/>
              </w:rPr>
              <w:t xml:space="preserve">df_singoli = df[df['AteneoNOME'] != 'TOTALE ATENEI']   # analisi per ateneo</w:t>
            </w:r>
          </w:p>
          <w:p>
            <w:pPr>
              <w:spacing w:after="60"/>
              <w:jc w:val="both"/>
            </w:pPr>
            <w:r>
              <w:rPr>
                <w:rFonts w:ascii="Arial" w:cs="Arial" w:eastAsia="Arial" w:hAnsi="Arial"/>
                <w:color w:val="1A1A1A"/>
                <w:sz w:val="21"/>
                <w:szCs w:val="21"/>
              </w:rPr>
              <w:t xml:space="preserve">df_totale  = df[df['AteneoNOME'] == 'TOTALE ATENEI']   # trend temporali</w:t>
            </w:r>
          </w:p>
        </w:tc>
      </w:tr>
    </w:tbl>
    <w:p>
      <w:pPr>
        <w:spacing w:after="80"/>
      </w:pPr>
    </w:p>
    <w:p>
      <w:pPr>
        <w:spacing w:after="100" w:before="240"/>
      </w:pPr>
      <w:r>
        <w:rPr>
          <w:rFonts w:ascii="Arial" w:cs="Arial" w:eastAsia="Arial" w:hAnsi="Arial"/>
          <w:b/>
          <w:bCs/>
          <w:color w:val="1A1A1A"/>
          <w:sz w:val="23"/>
          <w:szCs w:val="23"/>
        </w:rPr>
        <w:t xml:space="preserve">Problema 3 — Fasce di voto non numeriche</w:t>
      </w:r>
    </w:p>
    <w:p>
      <w:pPr>
        <w:spacing w:after="160"/>
        <w:jc w:val="both"/>
      </w:pPr>
      <w:r>
        <w:rPr>
          <w:rFonts w:ascii="Arial" w:cs="Arial" w:eastAsia="Arial" w:hAnsi="Arial"/>
          <w:color w:val="1A1A1A"/>
          <w:sz w:val="22"/>
          <w:szCs w:val="22"/>
        </w:rPr>
        <w:t xml:space="preserve">La colonna Classe_Voto_Laurea contiene stringhe come "101-105" o "110 e lode", non valori numerici. Per calcolare un voto medio ponderato è necessario convertirle in numeri. Abbiamo usato il punto medio di ogni fascia, trattando "110 e lode" come 112 per distinguerlo dal 110 semplice: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after="60"/>
              <w:jc w:val="both"/>
            </w:pPr>
            <w:r>
              <w:rPr>
                <w:rFonts w:ascii="Arial" w:cs="Arial" w:eastAsia="Arial" w:hAnsi="Arial"/>
                <w:color w:val="1A1A1A"/>
                <w:sz w:val="21"/>
                <w:szCs w:val="21"/>
              </w:rPr>
              <w:t xml:space="preserve">fascia_to_voto = {</w:t>
            </w:r>
          </w:p>
          <w:p>
            <w:pPr>
              <w:spacing w:after="60"/>
              <w:jc w:val="both"/>
            </w:pPr>
            <w:r>
              <w:rPr>
                <w:rFonts w:ascii="Arial" w:cs="Arial" w:eastAsia="Arial" w:hAnsi="Arial"/>
                <w:color w:val="1A1A1A"/>
                <w:sz w:val="21"/>
                <w:szCs w:val="21"/>
              </w:rPr>
              <w:t xml:space="preserve">    '66-90': 78.0,   '91-100': 95.5,   '101-105': 103.0,</w:t>
            </w:r>
          </w:p>
          <w:p>
            <w:pPr>
              <w:spacing w:after="60"/>
              <w:jc w:val="both"/>
            </w:pPr>
            <w:r>
              <w:rPr>
                <w:rFonts w:ascii="Arial" w:cs="Arial" w:eastAsia="Arial" w:hAnsi="Arial"/>
                <w:color w:val="1A1A1A"/>
                <w:sz w:val="21"/>
                <w:szCs w:val="21"/>
              </w:rPr>
              <w:t xml:space="preserve">    '106-110': 108.0,   '110 e lode': 112.0</w:t>
            </w:r>
          </w:p>
          <w:p>
            <w:pPr>
              <w:spacing w:after="60"/>
              <w:jc w:val="both"/>
            </w:pPr>
            <w:r>
              <w:rPr>
                <w:rFonts w:ascii="Arial" w:cs="Arial" w:eastAsia="Arial" w:hAnsi="Arial"/>
                <w:color w:val="1A1A1A"/>
                <w:sz w:val="21"/>
                <w:szCs w:val="21"/>
              </w:rPr>
              <w:t xml:space="preserve">}</w:t>
            </w:r>
          </w:p>
          <w:p>
            <w:pPr>
              <w:spacing w:after="60"/>
              <w:jc w:val="both"/>
            </w:pPr>
            <w:r>
              <w:rPr>
                <w:rFonts w:ascii="Arial" w:cs="Arial" w:eastAsia="Arial" w:hAnsi="Arial"/>
                <w:color w:val="1A1A1A"/>
                <w:sz w:val="21"/>
                <w:szCs w:val="21"/>
              </w:rPr>
              <w:t xml:space="preserve">df['voto_num'] = df['Classe_Voto_Laurea'].map(fascia_to_voto)</w:t>
            </w:r>
          </w:p>
        </w:tc>
      </w:tr>
    </w:tbl>
    <w:p>
      <w:pPr>
        <w:spacing w:after="80"/>
      </w:pPr>
    </w:p>
    <w:p>
      <w:pPr>
        <w:spacing w:after="100" w:before="240"/>
      </w:pPr>
      <w:r>
        <w:rPr>
          <w:rFonts w:ascii="Arial" w:cs="Arial" w:eastAsia="Arial" w:hAnsi="Arial"/>
          <w:b/>
          <w:bCs/>
          <w:color w:val="1A1A1A"/>
          <w:sz w:val="23"/>
          <w:szCs w:val="23"/>
        </w:rPr>
        <w:t xml:space="preserve">Problema 4 — Formato report di AlmaLaurea</w:t>
      </w:r>
    </w:p>
    <w:p>
      <w:pPr>
        <w:spacing w:after="160"/>
        <w:jc w:val="both"/>
      </w:pPr>
      <w:r>
        <w:rPr>
          <w:rFonts w:ascii="Arial" w:cs="Arial" w:eastAsia="Arial" w:hAnsi="Arial"/>
          <w:color w:val="1A1A1A"/>
          <w:sz w:val="22"/>
          <w:szCs w:val="22"/>
        </w:rPr>
        <w:t xml:space="preserve">Il CSV esportato dal portale AlmaLaurea non è una tabella standard con intestazione e righe di dati. È un report a sezioni testuali ("3. Condizione occupazionale", "7. Retribuzione", ecc.) dove i valori sono dispersi in celle che mescolano testo e numeri. È stato necessario scrivere un parser personalizzato che legge il file riga per riga e ricostruisce un dizionario strutturato con i valori numerici per genere.</w:t>
      </w:r>
    </w:p>
    <w:p>
      <w:pPr>
        <w:spacing w:after="160"/>
      </w:pPr>
    </w:p>
    <w:p>
      <w:pPr>
        <w:pStyle w:val="Heading2"/>
        <w:spacing w:after="160" w:before="320"/>
      </w:pPr>
      <w:r>
        <w:rPr>
          <w:rFonts w:ascii="Arial" w:cs="Arial" w:eastAsia="Arial" w:hAnsi="Arial"/>
          <w:b/>
          <w:bCs/>
          <w:color w:val="1F5C99"/>
          <w:sz w:val="26"/>
          <w:szCs w:val="26"/>
        </w:rPr>
        <w:t xml:space="preserve">2.3 Costruzione del dataset analitico per la parte di mercato del lavoro</w:t>
      </w:r>
    </w:p>
    <w:p>
      <w:pPr>
        <w:spacing w:after="160"/>
        <w:jc w:val="both"/>
      </w:pPr>
      <w:r>
        <w:rPr>
          <w:rFonts w:ascii="Arial" w:cs="Arial" w:eastAsia="Arial" w:hAnsi="Arial"/>
          <w:color w:val="1A1A1A"/>
          <w:sz w:val="22"/>
          <w:szCs w:val="22"/>
        </w:rPr>
        <w:t xml:space="preserve">I dati estratti dal Focus Gender Gap 2024 sono stati organizzati in un dataset strutturato con 15 righe (una per gruppo disciplinare) e le seguenti variabili: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Variabile</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Fonte</w:t>
            </w:r>
          </w:p>
        </w:tc>
        <w:tc>
          <w:tcPr>
            <w:tcW w:type="dxa" w:w="3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Descrizione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salario_M / salario_F</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Numerico (€)</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Fig.2</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Salario netto mensile a 5 anni, tempo pieno, per genere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voto_M / voto_F</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Numerico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Fig.1</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Voto medio di laurea per genere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pct_donne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Percentuale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Profilo 2024</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 donne iscritte al gruppo disciplinare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is_stem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Booleano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Classificazione MUR</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True se il gruppo rientra nella definizione STEM del MUR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area_geo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Stringa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Occ. 2024</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Area geografica prevalente di impiego per il gruppo</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gap_assoluto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Calcolata</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salario_M - salario_F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gap_pct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Calcolata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gap_assoluto / salario_M * 100</w:t>
            </w:r>
          </w:p>
        </w:tc>
      </w:tr>
    </w:tbl>
    <w:p>
      <w:pPr>
        <w:spacing w:after="80"/>
      </w:pPr>
    </w:p>
    <w:p>
      <w:pPr>
        <w:spacing w:after="160"/>
        <w:jc w:val="both"/>
      </w:pPr>
      <w:r>
        <w:rPr>
          <w:rFonts w:ascii="Arial" w:cs="Arial" w:eastAsia="Arial" w:hAnsi="Arial"/>
          <w:color w:val="1A1A1A"/>
          <w:sz w:val="22"/>
          <w:szCs w:val="22"/>
        </w:rPr>
        <w:t xml:space="preserve">Per la regressione multipla, il dataset è stato trasformato in formato long: ogni gruppo disciplinare genera due righe (una per genere), portando le osservazioni totali a 30. La variabile genere è stata codificata come binaria (0 = Uomo, 1 = Donna), con l'uomo come categoria di riferimento.</w:t>
      </w:r>
    </w:p>
    <w:p>
      <w:pPr>
        <w:spacing w:after="16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3. Tecniche di Elaborazione</w:t>
      </w:r>
    </w:p>
    <w:p>
      <w:pPr>
        <w:pStyle w:val="Heading2"/>
        <w:spacing w:after="160" w:before="320"/>
      </w:pPr>
      <w:r>
        <w:rPr>
          <w:rFonts w:ascii="Arial" w:cs="Arial" w:eastAsia="Arial" w:hAnsi="Arial"/>
          <w:b/>
          <w:bCs/>
          <w:color w:val="1F5C99"/>
          <w:sz w:val="26"/>
          <w:szCs w:val="26"/>
        </w:rPr>
        <w:t xml:space="preserve">3.1 Analisi Esplorativa (EDA)</w:t>
      </w:r>
    </w:p>
    <w:p>
      <w:pPr>
        <w:spacing w:after="160"/>
        <w:jc w:val="both"/>
      </w:pPr>
      <w:r>
        <w:rPr>
          <w:rFonts w:ascii="Arial" w:cs="Arial" w:eastAsia="Arial" w:hAnsi="Arial"/>
          <w:color w:val="1A1A1A"/>
          <w:sz w:val="22"/>
          <w:szCs w:val="22"/>
        </w:rPr>
        <w:t xml:space="preserve">Prima di applicare qualsiasi test statistico, abbiamo condotto un'analisi esplorativa dei dati con l'obiettivo di capire la struttura dei dataset, identificare anomalie, e formulare ipotesi da testare formalmente nella fase successiva.</w:t>
      </w:r>
    </w:p>
    <w:p>
      <w:pPr>
        <w:spacing w:after="80"/>
      </w:pPr>
    </w:p>
    <w:p>
      <w:pPr>
        <w:spacing w:after="100" w:before="240"/>
      </w:pPr>
      <w:r>
        <w:rPr>
          <w:rFonts w:ascii="Arial" w:cs="Arial" w:eastAsia="Arial" w:hAnsi="Arial"/>
          <w:b/>
          <w:bCs/>
          <w:color w:val="1A1A1A"/>
          <w:sz w:val="23"/>
          <w:szCs w:val="23"/>
        </w:rPr>
        <w:t xml:space="preserve">Distribuzione di genere per area geografica</w:t>
      </w:r>
    </w:p>
    <w:p>
      <w:pPr>
        <w:spacing w:after="160"/>
        <w:jc w:val="both"/>
      </w:pPr>
      <w:r>
        <w:rPr>
          <w:rFonts w:ascii="Arial" w:cs="Arial" w:eastAsia="Arial" w:hAnsi="Arial"/>
          <w:color w:val="1A1A1A"/>
          <w:sz w:val="22"/>
          <w:szCs w:val="22"/>
        </w:rPr>
        <w:t xml:space="preserve">Usando il dataset MUR, abbiamo calcolato la percentuale di donne laureate per area geografica (Nord-Ovest, Nord-Est, Centro, Sud, Isole, Italia intera) aggregando i dati dei tre anni disponibili. La visualizzazione con un grafico a barre orizzontali mostra immediatamente quali aree sono al di sopra e al di sotto della parità (50%).</w:t>
      </w:r>
    </w:p>
    <w:p>
      <w:pPr>
        <w:spacing w:after="80"/>
      </w:pPr>
    </w:p>
    <w:p>
      <w:pPr>
        <w:spacing w:after="100" w:before="240"/>
      </w:pPr>
      <w:r>
        <w:rPr>
          <w:rFonts w:ascii="Arial" w:cs="Arial" w:eastAsia="Arial" w:hAnsi="Arial"/>
          <w:b/>
          <w:bCs/>
          <w:color w:val="1A1A1A"/>
          <w:sz w:val="23"/>
          <w:szCs w:val="23"/>
        </w:rPr>
        <w:t xml:space="preserve">Distribuzione delle fasce di voto per genere</w:t>
      </w:r>
    </w:p>
    <w:p>
      <w:pPr>
        <w:spacing w:after="160"/>
        <w:jc w:val="both"/>
      </w:pPr>
      <w:r>
        <w:rPr>
          <w:rFonts w:ascii="Arial" w:cs="Arial" w:eastAsia="Arial" w:hAnsi="Arial"/>
          <w:color w:val="1A1A1A"/>
          <w:sz w:val="22"/>
          <w:szCs w:val="22"/>
        </w:rPr>
        <w:t xml:space="preserve">Un grafico a barre affiancate per le cinque fasce di voto (66-90, 91-100, 101-105, 106-110, 110 e lode) permette di confrontare visivamente la distribuzione maschile e femminile. La differenza più visibile è nella fascia "110 e lode": le donne sono proporzionalmente più rappresentate nelle fasce alte, il che anticipa il risultato del test statistico.</w:t>
      </w:r>
    </w:p>
    <w:p>
      <w:pPr>
        <w:spacing w:after="80"/>
      </w:pPr>
    </w:p>
    <w:p>
      <w:pPr>
        <w:spacing w:after="100" w:before="240"/>
      </w:pPr>
      <w:r>
        <w:rPr>
          <w:rFonts w:ascii="Arial" w:cs="Arial" w:eastAsia="Arial" w:hAnsi="Arial"/>
          <w:b/>
          <w:bCs/>
          <w:color w:val="1A1A1A"/>
          <w:sz w:val="23"/>
          <w:szCs w:val="23"/>
        </w:rPr>
        <w:t xml:space="preserve">Trend storico 2022-2024</w:t>
      </w:r>
    </w:p>
    <w:p>
      <w:pPr>
        <w:spacing w:after="160"/>
        <w:jc w:val="both"/>
      </w:pPr>
      <w:r>
        <w:rPr>
          <w:rFonts w:ascii="Arial" w:cs="Arial" w:eastAsia="Arial" w:hAnsi="Arial"/>
          <w:color w:val="1A1A1A"/>
          <w:sz w:val="22"/>
          <w:szCs w:val="22"/>
        </w:rPr>
        <w:t xml:space="preserve">La serie triennale del dataset MUR permette di osservare se la percentuale di donne laureate sta aumentando o diminuendo nel tempo. Il trend viene visualizzato con una linea temporale con riferimento alla parità al 50%.</w:t>
      </w:r>
    </w:p>
    <w:p>
      <w:pPr>
        <w:spacing w:after="80"/>
      </w:pPr>
    </w:p>
    <w:p>
      <w:pPr>
        <w:spacing w:after="100" w:before="240"/>
      </w:pPr>
      <w:r>
        <w:rPr>
          <w:rFonts w:ascii="Arial" w:cs="Arial" w:eastAsia="Arial" w:hAnsi="Arial"/>
          <w:b/>
          <w:bCs/>
          <w:color w:val="1A1A1A"/>
          <w:sz w:val="23"/>
          <w:szCs w:val="23"/>
        </w:rPr>
        <w:t xml:space="preserve">Calcolo del voto medio ponderato</w:t>
      </w:r>
    </w:p>
    <w:p>
      <w:pPr>
        <w:spacing w:after="160"/>
        <w:jc w:val="both"/>
      </w:pPr>
      <w:r>
        <w:rPr>
          <w:rFonts w:ascii="Arial" w:cs="Arial" w:eastAsia="Arial" w:hAnsi="Arial"/>
          <w:color w:val="1A1A1A"/>
          <w:sz w:val="22"/>
          <w:szCs w:val="22"/>
        </w:rPr>
        <w:t xml:space="preserve">Poiché il dataset MUR non contiene un voto medio diretto ma solo il numero di laureati per fascia, il voto medio è stato calcolato come media pesata: per ogni gruppo (genere, anno, area), si somma il prodotto tra il voto numerico della fascia e il numero di laureati in quella fascia, e si divide per il totale dei laureati del gruppo.</w:t>
      </w:r>
    </w:p>
    <w:p>
      <w:pPr>
        <w:spacing w:after="160"/>
      </w:pPr>
    </w:p>
    <w:p>
      <w:pPr>
        <w:pStyle w:val="Heading2"/>
        <w:spacing w:after="160" w:before="320"/>
      </w:pPr>
      <w:r>
        <w:rPr>
          <w:rFonts w:ascii="Arial" w:cs="Arial" w:eastAsia="Arial" w:hAnsi="Arial"/>
          <w:b/>
          <w:bCs/>
          <w:color w:val="1F5C99"/>
          <w:sz w:val="26"/>
          <w:szCs w:val="26"/>
        </w:rPr>
        <w:t xml:space="preserve">3.2 Metriche descrittive del gap</w:t>
      </w:r>
    </w:p>
    <w:p>
      <w:pPr>
        <w:spacing w:after="160"/>
        <w:jc w:val="both"/>
      </w:pPr>
      <w:r>
        <w:rPr>
          <w:rFonts w:ascii="Arial" w:cs="Arial" w:eastAsia="Arial" w:hAnsi="Arial"/>
          <w:color w:val="1A1A1A"/>
          <w:sz w:val="22"/>
          <w:szCs w:val="22"/>
        </w:rPr>
        <w:t xml:space="preserve">Le metriche più semplici sono spesso le più potenti comunicativamente. Prima di qualsiasi test statistico, tre numeri sintetizzano efficacemente la situazione: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26"/>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Metrica</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Formula</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Valore</w:t>
            </w:r>
          </w:p>
        </w:tc>
        <w:tc>
          <w:tcPr>
            <w:tcW w:type="dxa" w:w="22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Interpretazione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 assoluto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salario_M - salario_F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€140/mese (media tra i 15 gruppi)</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Le donne guadagnano €140 in meno al mese in media</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Gap percentuale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gap_assoluto / salario_M × 100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7.7%</w:t>
            </w:r>
          </w:p>
        </w:tc>
        <w:tc>
          <w:tcPr>
            <w:tcW w:type="dxa" w:w="2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Le donne guadagnano il 7.7% in meno degli uomini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Impatto a 30 anni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gap_assoluto × 12 mesi × 30 anni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€50.400</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Mancato guadagno cumulativo in una carriera lavorativa</w:t>
            </w:r>
          </w:p>
        </w:tc>
      </w:tr>
    </w:tbl>
    <w:p>
      <w:pPr>
        <w:spacing w:after="80"/>
      </w:pPr>
    </w:p>
    <w:p>
      <w:pPr>
        <w:spacing w:after="160"/>
        <w:jc w:val="both"/>
      </w:pPr>
      <w:r>
        <w:rPr>
          <w:rFonts w:ascii="Arial" w:cs="Arial" w:eastAsia="Arial" w:hAnsi="Arial"/>
          <w:color w:val="1A1A1A"/>
          <w:sz w:val="22"/>
          <w:szCs w:val="22"/>
        </w:rPr>
        <w:t xml:space="preserve">È importante notare che queste sono medie aggregate su 15 settori molto diversi tra loro. Il gap varia da €25/mese in Educazione e Formazione a €292/mese in Informatica e ICT. La variabilità tra settori è essa stessa un'informazione rilevante, e sarà analizzata formalmente con i test delle sezioni successive.</w:t>
      </w:r>
    </w:p>
    <w:p>
      <w:pPr>
        <w:spacing w:after="160"/>
      </w:pPr>
    </w:p>
    <w:p>
      <w:pPr>
        <w:pStyle w:val="Heading2"/>
        <w:spacing w:after="160" w:before="320"/>
      </w:pPr>
      <w:r>
        <w:rPr>
          <w:rFonts w:ascii="Arial" w:cs="Arial" w:eastAsia="Arial" w:hAnsi="Arial"/>
          <w:b/>
          <w:bCs/>
          <w:color w:val="1F5C99"/>
          <w:sz w:val="26"/>
          <w:szCs w:val="26"/>
        </w:rPr>
        <w:t xml:space="preserve">3.3 Analisi del Mercato del Lavoro</w:t>
      </w:r>
    </w:p>
    <w:p>
      <w:pPr>
        <w:spacing w:after="160"/>
        <w:jc w:val="both"/>
      </w:pPr>
      <w:r>
        <w:rPr>
          <w:rFonts w:ascii="Arial" w:cs="Arial" w:eastAsia="Arial" w:hAnsi="Arial"/>
          <w:color w:val="1A1A1A"/>
          <w:sz w:val="22"/>
          <w:szCs w:val="22"/>
        </w:rPr>
        <w:t xml:space="preserve">L'analisi del mercato del lavoro è articolata in quattro strumenti statistici applicati in sequenza logica. Ogni strumento risponde a una domanda specifica e i risultati si confermano e completano a vicenda.</w:t>
      </w:r>
    </w:p>
    <w:p>
      <w:pPr>
        <w:spacing w:after="80"/>
      </w:pPr>
    </w:p>
    <w:p>
      <w:pPr>
        <w:spacing w:after="100" w:before="240"/>
      </w:pPr>
      <w:r>
        <w:rPr>
          <w:rFonts w:ascii="Arial" w:cs="Arial" w:eastAsia="Arial" w:hAnsi="Arial"/>
          <w:b/>
          <w:bCs/>
          <w:color w:val="1A1A1A"/>
          <w:sz w:val="23"/>
          <w:szCs w:val="23"/>
        </w:rPr>
        <w:t xml:space="preserve">3.3.1 Paired T-Test — Il gap è sistematico?</w:t>
      </w:r>
    </w:p>
    <w:p>
      <w:pPr>
        <w:spacing w:after="160"/>
        <w:jc w:val="both"/>
      </w:pPr>
      <w:r>
        <w:rPr>
          <w:rFonts w:ascii="Arial" w:cs="Arial" w:eastAsia="Arial" w:hAnsi="Arial"/>
          <w:color w:val="1A1A1A"/>
          <w:sz w:val="22"/>
          <w:szCs w:val="22"/>
        </w:rPr>
        <w:t xml:space="preserve">La prima domanda è: la differenza salariale tra uomini e donne è presente in tutti i settori, o è limitata ad alcuni? Il Paired T-Test (T-Test per campioni appaiati) è il test appropriato perché confronta 15 coppie di valori collegati tra loro — non due gruppi indipendenti. Per ogni gruppo disciplinare esiste esattamente un salario maschile e uno femminile che appartengono allo stesso contesto lavorativo.</w:t>
      </w:r>
    </w:p>
    <w:p>
      <w:pPr>
        <w:spacing w:after="80"/>
      </w:pPr>
    </w:p>
    <w:p>
      <w:pPr>
        <w:spacing w:after="160"/>
        <w:jc w:val="both"/>
      </w:pPr>
      <w:r>
        <w:rPr>
          <w:rFonts w:ascii="Arial" w:cs="Arial" w:eastAsia="Arial" w:hAnsi="Arial"/>
          <w:color w:val="1A1A1A"/>
          <w:sz w:val="22"/>
          <w:szCs w:val="22"/>
        </w:rPr>
        <w:t xml:space="preserve">Il test calcola la differenza all'interno di ogni coppia (d_i = salario_M_i - salario_F_i), e poi verifica se la media di queste 15 differenze è significativamente diversa da zero. L'ipotesi nulla è che il gap medio sia zero — ovvero che non esista una differenza sistematica tra uomini e donne.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Risultato</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Valore</w:t>
            </w:r>
          </w:p>
        </w:tc>
        <w:tc>
          <w:tcPr>
            <w:tcW w:type="dxa" w:w="4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Significato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 medio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€140/mese (7.7%)</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Le donne guadagnano in media €140 in meno al mese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t-statistic</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7.395</w:t>
            </w:r>
          </w:p>
        </w:tc>
        <w:tc>
          <w:tcPr>
            <w:tcW w:type="dxa" w:w="4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Molto lontano da zero: la probabilità che sia casuale è infinitesima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p-value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0.000003</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Il gap è statisticamente significativo (soglia: 0.05)</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Cohen's 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1.91</w:t>
            </w:r>
          </w:p>
        </w:tc>
        <w:tc>
          <w:tcPr>
            <w:tcW w:type="dxa" w:w="4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Effetto molto grande: la differenza è rilevante anche praticamente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Settori con gap &gt; 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15 su 15</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Il gap è presente in OGNI gruppo disciplinare senza eccezione</w:t>
            </w:r>
          </w:p>
        </w:tc>
      </w:tr>
    </w:tbl>
    <w:p>
      <w:pPr>
        <w:spacing w:after="80"/>
      </w:pPr>
    </w:p>
    <w:p>
      <w:pPr>
        <w:spacing w:after="160"/>
        <w:jc w:val="both"/>
      </w:pPr>
      <w:r>
        <w:rPr>
          <w:rFonts w:ascii="Arial" w:cs="Arial" w:eastAsia="Arial" w:hAnsi="Arial"/>
          <w:color w:val="1A1A1A"/>
          <w:sz w:val="22"/>
          <w:szCs w:val="22"/>
        </w:rPr>
        <w:t xml:space="preserve">La scelta del Paired T-Test rispetto al T-Test per campioni indipendenti è motivata dalla struttura dei dati: i salari di ingegneri maschi e ingegnere femmine non sono osservazioni indipendenti, perché condividono lo stesso settore economico, le stesse tipologie di aziende, gli stessi contratti collettivi. Trattarli come indipendenti introdurrebbe una varianza artificiale tra i gruppi che distorcerebbe il risultato.</w:t>
      </w:r>
    </w:p>
    <w:p>
      <w:pPr>
        <w:spacing w:after="80"/>
      </w:pPr>
    </w:p>
    <w:p>
      <w:pPr>
        <w:spacing w:after="100" w:before="240"/>
      </w:pPr>
      <w:r>
        <w:rPr>
          <w:rFonts w:ascii="Arial" w:cs="Arial" w:eastAsia="Arial" w:hAnsi="Arial"/>
          <w:b/>
          <w:bCs/>
          <w:color w:val="1A1A1A"/>
          <w:sz w:val="23"/>
          <w:szCs w:val="23"/>
        </w:rPr>
        <w:t xml:space="preserve">3.3.2 Test di Wilcoxon — Conferma non parametrica</w:t>
      </w:r>
    </w:p>
    <w:p>
      <w:pPr>
        <w:spacing w:after="160"/>
        <w:jc w:val="both"/>
      </w:pPr>
      <w:r>
        <w:rPr>
          <w:rFonts w:ascii="Arial" w:cs="Arial" w:eastAsia="Arial" w:hAnsi="Arial"/>
          <w:color w:val="1A1A1A"/>
          <w:sz w:val="22"/>
          <w:szCs w:val="22"/>
        </w:rPr>
        <w:t xml:space="preserve">Il Paired T-Test assume che le differenze salariali nelle 15 coppie seguano una distribuzione normale. Il Test di Shapiro-Wilk ha verificato questo presupposto (W = 0.9476, p = 0.487): la normalità non è rifiutata, e il T-Test è appropriato. Tuttavia, per robustezza metodologica, abbiamo applicato anche il test di Wilcoxon per i ranghi con segno, che non richiede alcuna assunzione distributiva.</w:t>
      </w:r>
    </w:p>
    <w:p>
      <w:pPr>
        <w:spacing w:after="80"/>
      </w:pPr>
    </w:p>
    <w:p>
      <w:pPr>
        <w:spacing w:after="160"/>
        <w:jc w:val="both"/>
      </w:pPr>
      <w:r>
        <w:rPr>
          <w:rFonts w:ascii="Arial" w:cs="Arial" w:eastAsia="Arial" w:hAnsi="Arial"/>
          <w:color w:val="1A1A1A"/>
          <w:sz w:val="22"/>
          <w:szCs w:val="22"/>
        </w:rPr>
        <w:t xml:space="preserve">Il test di Wilcoxon ordina le differenze assolute tra le coppie e assegna un rango a ciascuna, poi somma i ranghi delle differenze positive e negative separatamente. Se il gap è sistematico, tutte le differenze avranno lo stesso segno e la somma dei ranghi sarà estrema.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4EDDA" w:val="clear"/>
            <w:tcMar>
              <w:top w:type="dxa" w:w="160"/>
              <w:left w:type="dxa" w:w="220"/>
              <w:bottom w:type="dxa" w:w="160"/>
              <w:right w:type="dxa" w:w="220"/>
            </w:tcMar>
          </w:tcPr>
          <w:p>
            <w:pPr>
              <w:spacing w:after="80"/>
            </w:pPr>
            <w:r>
              <w:rPr>
                <w:rFonts w:ascii="Arial" w:cs="Arial" w:eastAsia="Arial" w:hAnsi="Arial"/>
                <w:b/>
                <w:bCs/>
                <w:color w:val="1A1A1A"/>
                <w:sz w:val="22"/>
                <w:szCs w:val="22"/>
              </w:rPr>
              <w:t xml:space="preserve">Risultato del test di Wilcoxon</w:t>
            </w:r>
          </w:p>
          <w:p>
            <w:pPr>
              <w:spacing w:after="60"/>
              <w:jc w:val="both"/>
            </w:pPr>
            <w:r>
              <w:rPr>
                <w:rFonts w:ascii="Arial" w:cs="Arial" w:eastAsia="Arial" w:hAnsi="Arial"/>
                <w:color w:val="1A1A1A"/>
                <w:sz w:val="21"/>
                <w:szCs w:val="21"/>
              </w:rPr>
              <w:t xml:space="preserve">W = 0.0 — la statistica vale zero perché TUTTE le 15 differenze sono positive.</w:t>
            </w:r>
          </w:p>
          <w:p>
            <w:pPr>
              <w:spacing w:after="60"/>
              <w:jc w:val="both"/>
            </w:pPr>
            <w:r>
              <w:rPr>
                <w:rFonts w:ascii="Arial" w:cs="Arial" w:eastAsia="Arial" w:hAnsi="Arial"/>
                <w:color w:val="1A1A1A"/>
                <w:sz w:val="21"/>
                <w:szCs w:val="21"/>
              </w:rPr>
              <w:t xml:space="preserve">In tutti e 15 i gruppi disciplinari, senza eccezione, il salario maschile supera</w:t>
            </w:r>
          </w:p>
          <w:p>
            <w:pPr>
              <w:spacing w:after="60"/>
              <w:jc w:val="both"/>
            </w:pPr>
            <w:r>
              <w:rPr>
                <w:rFonts w:ascii="Arial" w:cs="Arial" w:eastAsia="Arial" w:hAnsi="Arial"/>
                <w:color w:val="1A1A1A"/>
                <w:sz w:val="21"/>
                <w:szCs w:val="21"/>
              </w:rPr>
              <w:t xml:space="preserve">quello femminile. Questo è il risultato massimamente estremo possibile per questo test.</w:t>
            </w:r>
          </w:p>
          <w:p>
            <w:pPr>
              <w:spacing w:after="60"/>
              <w:jc w:val="both"/>
            </w:pPr>
            <w:r>
              <w:rPr>
                <w:rFonts w:ascii="Arial" w:cs="Arial" w:eastAsia="Arial" w:hAnsi="Arial"/>
                <w:color w:val="1A1A1A"/>
                <w:sz w:val="21"/>
                <w:szCs w:val="21"/>
              </w:rPr>
              <w:t xml:space="preserve">p-value = 0.000653: il gap è significativo anche senza assumere la normalità.</w:t>
            </w:r>
          </w:p>
        </w:tc>
      </w:tr>
    </w:tbl>
    <w:p>
      <w:pPr>
        <w:spacing w:after="80"/>
      </w:pPr>
    </w:p>
    <w:p>
      <w:pPr>
        <w:spacing w:after="100" w:before="240"/>
      </w:pPr>
      <w:r>
        <w:rPr>
          <w:rFonts w:ascii="Arial" w:cs="Arial" w:eastAsia="Arial" w:hAnsi="Arial"/>
          <w:b/>
          <w:bCs/>
          <w:color w:val="1A1A1A"/>
          <w:sz w:val="23"/>
          <w:szCs w:val="23"/>
        </w:rPr>
        <w:t xml:space="preserve">3.3.3 Correlazione di Pearson e Spearman — I settori femminilizzati pagano meno?</w:t>
      </w:r>
    </w:p>
    <w:p>
      <w:pPr>
        <w:spacing w:after="160"/>
        <w:jc w:val="both"/>
      </w:pPr>
      <w:r>
        <w:rPr>
          <w:rFonts w:ascii="Arial" w:cs="Arial" w:eastAsia="Arial" w:hAnsi="Arial"/>
          <w:color w:val="1A1A1A"/>
          <w:sz w:val="22"/>
          <w:szCs w:val="22"/>
        </w:rPr>
        <w:t xml:space="preserve">La seconda domanda riguarda la distribuzione delle donne tra i settori: le donne sono concentrate nei settori meno pagati, o la loro presenza è indipendente dal livello salariale del settore? La correlazione di Pearson misura la forza della relazione lineare tra la percentuale di donne in un gruppo disciplinare e il salario medio di quel gruppo.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Metodo</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Coefficiente</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p-value</w:t>
            </w:r>
          </w:p>
        </w:tc>
        <w:tc>
          <w:tcPr>
            <w:tcW w:type="dxa" w:w="3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Interpretazione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Pearson 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r = -0.673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 = 0.006</w:t>
            </w:r>
          </w:p>
        </w:tc>
        <w:tc>
          <w:tcPr>
            <w:tcW w:type="dxa" w:w="3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Correlazione negativa moderata-forte, significativa</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Spearman rho</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rho = -0.624</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p = 0.013</w:t>
            </w:r>
          </w:p>
        </w:tc>
        <w:tc>
          <w:tcPr>
            <w:tcW w:type="dxa" w:w="3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Conferma non-parametrica della Pearson</w:t>
            </w:r>
          </w:p>
        </w:tc>
      </w:tr>
    </w:tbl>
    <w:p>
      <w:pPr>
        <w:spacing w:after="80"/>
      </w:pPr>
    </w:p>
    <w:p>
      <w:pPr>
        <w:spacing w:after="160"/>
        <w:jc w:val="both"/>
      </w:pPr>
      <w:r>
        <w:rPr>
          <w:rFonts w:ascii="Arial" w:cs="Arial" w:eastAsia="Arial" w:hAnsi="Arial"/>
          <w:color w:val="1A1A1A"/>
          <w:sz w:val="22"/>
          <w:szCs w:val="22"/>
        </w:rPr>
        <w:t xml:space="preserve">La correlazione negativa significa che all'aumentare della percentuale di donne in un settore, il salario medio del settore tende a diminuire. Informatica (20% donne, €1.939 di salario medio) e Ingegneria (26%, €1.970) sono i settori più pagati e più maschili. Educazione e Formazione (85% donne, €1.430) e Linguistica (80%, €1.624) sono i meno pagati e più femminili.</w:t>
      </w:r>
    </w:p>
    <w:p>
      <w:pPr>
        <w:spacing w:after="80"/>
      </w:pPr>
    </w:p>
    <w:p>
      <w:pPr>
        <w:spacing w:after="160"/>
        <w:jc w:val="both"/>
      </w:pPr>
      <w:r>
        <w:rPr>
          <w:rFonts w:ascii="Arial" w:cs="Arial" w:eastAsia="Arial" w:hAnsi="Arial"/>
          <w:color w:val="1A1A1A"/>
          <w:sz w:val="22"/>
          <w:szCs w:val="22"/>
        </w:rPr>
        <w:t xml:space="preserve">L'utilizzo della correlazione di Spearman come conferma è una scelta di rigore: la Pearson assume una relazione lineare e una distribuzione approssimativamente normale delle variabili. La Spearman lavora sui ranghi e non fa queste assunzioni. Il fatto che i due coefficienti concordino (−0.673 e −0.624) indica che la relazione non è un artefatto del metodo.</w:t>
      </w:r>
    </w:p>
    <w:p>
      <w:pPr>
        <w:spacing w:after="80"/>
      </w:pPr>
    </w:p>
    <w:p>
      <w:pPr>
        <w:spacing w:after="100" w:before="240"/>
      </w:pPr>
      <w:r>
        <w:rPr>
          <w:rFonts w:ascii="Arial" w:cs="Arial" w:eastAsia="Arial" w:hAnsi="Arial"/>
          <w:b/>
          <w:bCs/>
          <w:color w:val="1A1A1A"/>
          <w:sz w:val="23"/>
          <w:szCs w:val="23"/>
        </w:rPr>
        <w:t xml:space="preserve">3.3.4 Regressione Multipla OLS — Qual è il gap strutturale?</w:t>
      </w:r>
    </w:p>
    <w:p>
      <w:pPr>
        <w:spacing w:after="160"/>
        <w:jc w:val="both"/>
      </w:pPr>
      <w:r>
        <w:rPr>
          <w:rFonts w:ascii="Arial" w:cs="Arial" w:eastAsia="Arial" w:hAnsi="Arial"/>
          <w:color w:val="1A1A1A"/>
          <w:sz w:val="22"/>
          <w:szCs w:val="22"/>
        </w:rPr>
        <w:t xml:space="preserve">Le analisi precedenti dimostrano che esiste un gap, che è sistematico, e che i settori femminilizzati pagano meno. Ma non rispondono alla domanda più importante: di quanto guadagna meno una donna rispetto a un uomo con la stessa laurea, nello stesso tipo di percorso, nella stessa area geografica?</w:t>
      </w:r>
    </w:p>
    <w:p>
      <w:pPr>
        <w:spacing w:after="80"/>
      </w:pPr>
    </w:p>
    <w:p>
      <w:pPr>
        <w:spacing w:after="160"/>
        <w:jc w:val="both"/>
      </w:pPr>
      <w:r>
        <w:rPr>
          <w:rFonts w:ascii="Arial" w:cs="Arial" w:eastAsia="Arial" w:hAnsi="Arial"/>
          <w:color w:val="1A1A1A"/>
          <w:sz w:val="22"/>
          <w:szCs w:val="22"/>
        </w:rPr>
        <w:t xml:space="preserve">La regressione multipla OLS (Ordinary Least Squares) permette di stimare l'effetto di ciascuna variabile sul salario mantenendo costanti tutte le altre. Il modello stimato è:</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after="60"/>
              <w:jc w:val="both"/>
            </w:pPr>
            <w:r>
              <w:rPr>
                <w:rFonts w:ascii="Arial" w:cs="Arial" w:eastAsia="Arial" w:hAnsi="Arial"/>
                <w:color w:val="1A1A1A"/>
                <w:sz w:val="21"/>
                <w:szCs w:val="21"/>
              </w:rPr>
              <w:t xml:space="preserve">salario = b0 + b1 × genere + b2 × voto + b3 × Nord + b4 × Sud + b5 × STEM + errore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900"/>
        <w:gridCol w:w="2526"/>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Variabile</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Coefficiente</w:t>
            </w:r>
          </w:p>
        </w:tc>
        <w:tc>
          <w:tcPr>
            <w:tcW w:type="dxa" w:w="1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p-value</w:t>
            </w:r>
          </w:p>
        </w:tc>
        <w:tc>
          <w:tcPr>
            <w:tcW w:type="dxa" w:w="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Sig.</w:t>
            </w:r>
          </w:p>
        </w:tc>
        <w:tc>
          <w:tcPr>
            <w:tcW w:type="dxa" w:w="2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Interpretazione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Essere Donna (vs Uomo)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-€105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0.0038</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Sì</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 strutturale puro a parità di tutto il resto</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Voto di laurea (+1 punto)</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-€29</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0.0073</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Sì</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Effetto confounding (vedi nota sotto)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Lavoro al Nord (vs Centro)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+€56</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0.2454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No</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Effetto incerto con n=30 osservazioni</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Lavoro al Sud (vs Centro)</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-€224</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0.0001</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Sì</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Forte penalizzazione geografica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Percorso STEM (vs non-STEM)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+€186</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0.0000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Sì</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Premio STEM: il predittore più forte del modello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Indicatore di qualità del modello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Valore</w:t>
            </w:r>
          </w:p>
        </w:tc>
        <w:tc>
          <w:tcPr>
            <w:tcW w:type="dxa" w:w="37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Interpretazione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R² (varianza spiegata)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0.814</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Il modello spiega l'81.4% della variabilità dei salari</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F-statistic p-value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&lt; 0.0001</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Il modello nel suo insieme è statisticamente significativo</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N osservazioni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30 (15 gruppi × 2 generi)</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Dataset lungo costruito dal dataset a 15 righe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80"/>
            </w:pPr>
            <w:r>
              <w:rPr>
                <w:rFonts w:ascii="Arial" w:cs="Arial" w:eastAsia="Arial" w:hAnsi="Arial"/>
                <w:b/>
                <w:bCs/>
                <w:color w:val="1A1A1A"/>
                <w:sz w:val="22"/>
                <w:szCs w:val="22"/>
              </w:rPr>
              <w:t xml:space="preserve">Nota sull'effetto negativo del voto</w:t>
            </w:r>
          </w:p>
          <w:p>
            <w:pPr>
              <w:spacing w:after="60"/>
              <w:jc w:val="both"/>
            </w:pPr>
            <w:r>
              <w:rPr>
                <w:rFonts w:ascii="Arial" w:cs="Arial" w:eastAsia="Arial" w:hAnsi="Arial"/>
                <w:color w:val="1A1A1A"/>
                <w:sz w:val="21"/>
                <w:szCs w:val="21"/>
              </w:rPr>
              <w:t xml:space="preserve">Il coefficiente negativo del voto (-€29 per punto) sembra controintuitivo: voti più</w:t>
            </w:r>
          </w:p>
          <w:p>
            <w:pPr>
              <w:spacing w:after="60"/>
              <w:jc w:val="both"/>
            </w:pPr>
            <w:r>
              <w:rPr>
                <w:rFonts w:ascii="Arial" w:cs="Arial" w:eastAsia="Arial" w:hAnsi="Arial"/>
                <w:color w:val="1A1A1A"/>
                <w:sz w:val="21"/>
                <w:szCs w:val="21"/>
              </w:rPr>
              <w:t xml:space="preserve">alti portano a salari più bassi? Si tratta di un effetto di confounding. I gruppi con</w:t>
            </w:r>
          </w:p>
          <w:p>
            <w:pPr>
              <w:spacing w:after="60"/>
              <w:jc w:val="both"/>
            </w:pPr>
            <w:r>
              <w:rPr>
                <w:rFonts w:ascii="Arial" w:cs="Arial" w:eastAsia="Arial" w:hAnsi="Arial"/>
                <w:color w:val="1A1A1A"/>
                <w:sz w:val="21"/>
                <w:szCs w:val="21"/>
              </w:rPr>
              <w:t xml:space="preserve">voti medi più alti sono prevalentemente quelli umanistici e letterari (voto medio 107+),</w:t>
            </w:r>
          </w:p>
          <w:p>
            <w:pPr>
              <w:spacing w:after="60"/>
              <w:jc w:val="both"/>
            </w:pPr>
            <w:r>
              <w:rPr>
                <w:rFonts w:ascii="Arial" w:cs="Arial" w:eastAsia="Arial" w:hAnsi="Arial"/>
                <w:color w:val="1A1A1A"/>
                <w:sz w:val="21"/>
                <w:szCs w:val="21"/>
              </w:rPr>
              <w:t xml:space="preserve">che però pagano meno dei gruppi STEM (voto medio 102). Una volta inclusa la variabile</w:t>
            </w:r>
          </w:p>
          <w:p>
            <w:pPr>
              <w:spacing w:after="60"/>
              <w:jc w:val="both"/>
            </w:pPr>
            <w:r>
              <w:rPr>
                <w:rFonts w:ascii="Arial" w:cs="Arial" w:eastAsia="Arial" w:hAnsi="Arial"/>
                <w:color w:val="1A1A1A"/>
                <w:sz w:val="21"/>
                <w:szCs w:val="21"/>
              </w:rPr>
              <w:t xml:space="preserve">STEM nel modello, il voto cattura questa relazione residua. Non significa che studiare</w:t>
            </w:r>
          </w:p>
          <w:p>
            <w:pPr>
              <w:spacing w:after="60"/>
              <w:jc w:val="both"/>
            </w:pPr>
            <w:r>
              <w:rPr>
                <w:rFonts w:ascii="Arial" w:cs="Arial" w:eastAsia="Arial" w:hAnsi="Arial"/>
                <w:color w:val="1A1A1A"/>
                <w:sz w:val="21"/>
                <w:szCs w:val="21"/>
              </w:rPr>
              <w:t xml:space="preserve">di più sia penalizzante: significa che il tipo di percorso conta più del voto nel</w:t>
            </w:r>
          </w:p>
          <w:p>
            <w:pPr>
              <w:spacing w:after="60"/>
              <w:jc w:val="both"/>
            </w:pPr>
            <w:r>
              <w:rPr>
                <w:rFonts w:ascii="Arial" w:cs="Arial" w:eastAsia="Arial" w:hAnsi="Arial"/>
                <w:color w:val="1A1A1A"/>
                <w:sz w:val="21"/>
                <w:szCs w:val="21"/>
              </w:rPr>
              <w:t xml:space="preserve">determinare il salario.</w:t>
            </w:r>
          </w:p>
        </w:tc>
      </w:tr>
    </w:tbl>
    <w:p>
      <w:pPr>
        <w:spacing w:after="80"/>
      </w:pPr>
    </w:p>
    <w:p>
      <w:pPr>
        <w:spacing w:after="100" w:before="240"/>
      </w:pPr>
      <w:r>
        <w:rPr>
          <w:rFonts w:ascii="Arial" w:cs="Arial" w:eastAsia="Arial" w:hAnsi="Arial"/>
          <w:b/>
          <w:bCs/>
          <w:color w:val="1A1A1A"/>
          <w:sz w:val="23"/>
          <w:szCs w:val="23"/>
        </w:rPr>
        <w:t xml:space="preserve">3.3.5 Bootstrap per l'intervallo di confidenza del gap</w:t>
      </w:r>
    </w:p>
    <w:p>
      <w:pPr>
        <w:spacing w:after="160"/>
        <w:jc w:val="both"/>
      </w:pPr>
      <w:r>
        <w:rPr>
          <w:rFonts w:ascii="Arial" w:cs="Arial" w:eastAsia="Arial" w:hAnsi="Arial"/>
          <w:color w:val="1A1A1A"/>
          <w:sz w:val="22"/>
          <w:szCs w:val="22"/>
        </w:rPr>
        <w:t xml:space="preserve">Con soli 15 gruppi disciplinari, l'intervallo di confidenza classico del T-test potrebbe essere impreciso. Abbiamo calcolato un intervallo di confidenza al 95% con il metodo bootstrap, che non assume nessuna distribuzione teorica: si ricampionano le 15 differenze salariali con reinserimento per 10.000 volte, si calcola la media ad ogni iterazione, e si prende l'intervallo centrale al 95%.</w:t>
      </w:r>
    </w:p>
    <w:p>
      <w:pPr>
        <w:spacing w:after="80"/>
      </w:pPr>
    </w:p>
    <w:p>
      <w:pPr>
        <w:spacing w:after="160"/>
        <w:jc w:val="both"/>
      </w:pPr>
      <w:r>
        <w:rPr>
          <w:rFonts w:ascii="Arial" w:cs="Arial" w:eastAsia="Arial" w:hAnsi="Arial"/>
          <w:color w:val="1A1A1A"/>
          <w:sz w:val="22"/>
          <w:szCs w:val="22"/>
        </w:rPr>
        <w:t xml:space="preserve">Risultato: il gap medio stimato è €140/mese, con intervallo di confidenza [€104, €177] al 95%. Questo significa che siamo al 95% confidenti che il vero gap medio in Italia tra tutti i gruppi disciplinari sia compreso tra €104 e €177 al mese — certamente superiore a €100 anche nello scenario più ottimistico.</w:t>
      </w:r>
    </w:p>
    <w:p>
      <w:pPr>
        <w:spacing w:after="16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4. Validazione Scientifica</w:t>
      </w:r>
    </w:p>
    <w:p>
      <w:pPr>
        <w:spacing w:after="160"/>
        <w:jc w:val="both"/>
      </w:pPr>
      <w:r>
        <w:rPr>
          <w:rFonts w:ascii="Arial" w:cs="Arial" w:eastAsia="Arial" w:hAnsi="Arial"/>
          <w:color w:val="1A1A1A"/>
          <w:sz w:val="22"/>
          <w:szCs w:val="22"/>
        </w:rPr>
        <w:t xml:space="preserve">La validazione scientifica non è un passaggio separato dall'analisi: è integrata in ogni scelta metodologica. In questa sezione raccogliamo gli elementi di validazione applicati nel progetto e spieghiamo perché rendono le conclusioni affidabili.</w:t>
      </w:r>
    </w:p>
    <w:p>
      <w:pPr>
        <w:spacing w:after="160"/>
      </w:pPr>
    </w:p>
    <w:p>
      <w:pPr>
        <w:pStyle w:val="Heading2"/>
        <w:spacing w:after="160" w:before="320"/>
      </w:pPr>
      <w:r>
        <w:rPr>
          <w:rFonts w:ascii="Arial" w:cs="Arial" w:eastAsia="Arial" w:hAnsi="Arial"/>
          <w:b/>
          <w:bCs/>
          <w:color w:val="1F5C99"/>
          <w:sz w:val="26"/>
          <w:szCs w:val="26"/>
        </w:rPr>
        <w:t xml:space="preserve">4.1 Verifica dei presupposti statistici</w:t>
      </w:r>
    </w:p>
    <w:p>
      <w:pPr>
        <w:spacing w:after="160"/>
        <w:jc w:val="both"/>
      </w:pPr>
      <w:r>
        <w:rPr>
          <w:rFonts w:ascii="Arial" w:cs="Arial" w:eastAsia="Arial" w:hAnsi="Arial"/>
          <w:color w:val="1A1A1A"/>
          <w:sz w:val="22"/>
          <w:szCs w:val="22"/>
        </w:rPr>
        <w:t xml:space="preserve">Ogni test statistico è valido solo se certi presupposti sui dati sono soddisfatti. Applicare un test senza verificarne i presupposti può portare a conclusioni errate. Nel nostro caso: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00"/>
        <w:gridCol w:w="1526"/>
      </w:tblGrid>
      <w:tr>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applicato</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Presupposto verificato</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Metodo di verifica</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Risultato</w:t>
            </w:r>
          </w:p>
        </w:tc>
        <w:tc>
          <w:tcPr>
            <w:tcW w:type="dxa" w:w="1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Conseguenza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Paired T-Test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Normalità delle differenze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Test di Shapiro-Wilk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W=0.95, p=0.487 → normalità non rifiutata</w:t>
            </w:r>
          </w:p>
        </w:tc>
        <w:tc>
          <w:tcPr>
            <w:tcW w:type="dxa" w:w="1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Il T-Test è appropriato: i risultati sono affidabili</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Correlazione Pearson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Linearità della relazione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Ispezione visiva dello scatter plot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La relazione appare approssimativamente lineare</w:t>
            </w:r>
          </w:p>
        </w:tc>
        <w:tc>
          <w:tcPr>
            <w:tcW w:type="dxa" w:w="1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La Pearson è appropriata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Regressione OLS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Assenza di multicollinearità grave tra predittori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Matrice di correlazione tra variabili indipendenti</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Nessuna coppia con r &gt; 0.8</w:t>
            </w:r>
          </w:p>
        </w:tc>
        <w:tc>
          <w:tcPr>
            <w:tcW w:type="dxa" w:w="1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 coefficienti stimati sono stabili e interpretabili</w:t>
            </w:r>
          </w:p>
        </w:tc>
      </w:tr>
    </w:tbl>
    <w:p>
      <w:pPr>
        <w:spacing w:after="160"/>
      </w:pPr>
    </w:p>
    <w:p>
      <w:pPr>
        <w:pStyle w:val="Heading2"/>
        <w:spacing w:after="160" w:before="320"/>
      </w:pPr>
      <w:r>
        <w:rPr>
          <w:rFonts w:ascii="Arial" w:cs="Arial" w:eastAsia="Arial" w:hAnsi="Arial"/>
          <w:b/>
          <w:bCs/>
          <w:color w:val="1F5C99"/>
          <w:sz w:val="26"/>
          <w:szCs w:val="26"/>
        </w:rPr>
        <w:t xml:space="preserve">4.2 Triangolazione dei risultati</w:t>
      </w:r>
    </w:p>
    <w:p>
      <w:pPr>
        <w:spacing w:after="160"/>
        <w:jc w:val="both"/>
      </w:pPr>
      <w:r>
        <w:rPr>
          <w:rFonts w:ascii="Arial" w:cs="Arial" w:eastAsia="Arial" w:hAnsi="Arial"/>
          <w:color w:val="1A1A1A"/>
          <w:sz w:val="22"/>
          <w:szCs w:val="22"/>
        </w:rPr>
        <w:t xml:space="preserve">Un risultato è più credibile quando emerge coerentemente da metodi diversi che non condividono le stesse assunzioni. Nel nostro progetto, ogni conclusione principale è stata confermata da almeno due approcci indipendenti: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Conclusione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Metodo 1</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Metodo 2</w:t>
            </w:r>
          </w:p>
        </w:tc>
        <w:tc>
          <w:tcPr>
            <w:tcW w:type="dxa" w:w="25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Concordanza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Il gap è sistematico in tutti i settori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Paired T-Test (parametrico)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Wilcoxon (non-parametrico)</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Entrambi significativi con p &lt; 0.001</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 settori femminilizzati pagano meno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Correlazione Pearson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Correlazione Spearman</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r=-0.673 e rho=-0.624, stessa direzione e significatività</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Il voto femminile è più alto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Dataset MUR (2.877 righe)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AlmaLaurea Focus (report)</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Stesso risultato su fonti indipendenti</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Il gap è strutturale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Regressione OLS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Bootstrap CI</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Gap stimato -€105 contenuto nell'intervallo [€104, €177]</w:t>
            </w:r>
          </w:p>
        </w:tc>
      </w:tr>
    </w:tbl>
    <w:p>
      <w:pPr>
        <w:spacing w:after="160"/>
      </w:pPr>
    </w:p>
    <w:p>
      <w:pPr>
        <w:pStyle w:val="Heading2"/>
        <w:spacing w:after="160" w:before="320"/>
      </w:pPr>
      <w:r>
        <w:rPr>
          <w:rFonts w:ascii="Arial" w:cs="Arial" w:eastAsia="Arial" w:hAnsi="Arial"/>
          <w:b/>
          <w:bCs/>
          <w:color w:val="1F5C99"/>
          <w:sz w:val="26"/>
          <w:szCs w:val="26"/>
        </w:rPr>
        <w:t xml:space="preserve">4.3 Effect Size: perché il p-value non basta</w:t>
      </w:r>
    </w:p>
    <w:p>
      <w:pPr>
        <w:spacing w:after="160"/>
        <w:jc w:val="both"/>
      </w:pPr>
      <w:r>
        <w:rPr>
          <w:rFonts w:ascii="Arial" w:cs="Arial" w:eastAsia="Arial" w:hAnsi="Arial"/>
          <w:color w:val="1A1A1A"/>
          <w:sz w:val="22"/>
          <w:szCs w:val="22"/>
        </w:rPr>
        <w:t xml:space="preserve">Un errore comune nell'interpretazione dei risultati statistici è confondere significatività statistica con rilevanza pratica. Un risultato può essere altamente significativo (p molto piccolo) ma irrilevante nella realtà — e viceversa.</w:t>
      </w:r>
    </w:p>
    <w:p>
      <w:pPr>
        <w:spacing w:after="80"/>
      </w:pPr>
    </w:p>
    <w:p>
      <w:pPr>
        <w:spacing w:after="160"/>
        <w:jc w:val="both"/>
      </w:pPr>
      <w:r>
        <w:rPr>
          <w:rFonts w:ascii="Arial" w:cs="Arial" w:eastAsia="Arial" w:hAnsi="Arial"/>
          <w:color w:val="1A1A1A"/>
          <w:sz w:val="22"/>
          <w:szCs w:val="22"/>
        </w:rPr>
        <w:t xml:space="preserve">Nel dataset MUR, che contiene l'intera popolazione dei laureati italiani (non un campione), qualsiasi differenza risulta statisticamente significativa per costruzione matematica: con N nell'ordine delle decine di migliaia, anche una differenza di 0.01 punti di voto produce p ≈ 0. Per questo motivo, per il dataset MUR abbiamo rinunciato ai test di ipotesi classici e usato esclusivamente le misure descrittive (percentuali, medie ponderate, distribuzioni per fascia).</w:t>
      </w:r>
    </w:p>
    <w:p>
      <w:pPr>
        <w:spacing w:after="80"/>
      </w:pPr>
    </w:p>
    <w:p>
      <w:pPr>
        <w:spacing w:after="160"/>
        <w:jc w:val="both"/>
      </w:pPr>
      <w:r>
        <w:rPr>
          <w:rFonts w:ascii="Arial" w:cs="Arial" w:eastAsia="Arial" w:hAnsi="Arial"/>
          <w:color w:val="1A1A1A"/>
          <w:sz w:val="22"/>
          <w:szCs w:val="22"/>
        </w:rPr>
        <w:t xml:space="preserve">Per l'analisi del mercato del lavoro (15 gruppi disciplinari), il p-value è invece genuinamente interpretabile — il campione è piccolo e il p-value riflette realmente l'improbabilità del risultato sotto l'ipotesi nulla. In questo caso abbiamo affiancato Cohen's d come misura della dimensione dell'effetto: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Metrica</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Valore</w:t>
            </w:r>
          </w:p>
        </w:tc>
        <w:tc>
          <w:tcPr>
            <w:tcW w:type="dxa" w:w="36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Interpretazione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Cohen's d (gap salariale)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1.91</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Effetto molto grande (soglia: 0.8)</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Bootstrap CI 95%</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[€104, €177]/mese</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Il gap è certamente &gt; €100 anche nello scenario ottimistico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Gap come % del salario femminile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8.7%</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Ogni 1000 euro guadagnati dalla donna, l'uomo ne guadagna 87 in più</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Proiezione a 30 anni</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€50.400</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Impatto cumulativo sull'arco di una carriera lavorativa</w:t>
            </w:r>
          </w:p>
        </w:tc>
      </w:tr>
    </w:tbl>
    <w:p>
      <w:pPr>
        <w:spacing w:after="160"/>
      </w:pPr>
    </w:p>
    <w:p>
      <w:pPr>
        <w:pStyle w:val="Heading2"/>
        <w:spacing w:after="160" w:before="320"/>
      </w:pPr>
      <w:r>
        <w:rPr>
          <w:rFonts w:ascii="Arial" w:cs="Arial" w:eastAsia="Arial" w:hAnsi="Arial"/>
          <w:b/>
          <w:bCs/>
          <w:color w:val="1F5C99"/>
          <w:sz w:val="26"/>
          <w:szCs w:val="26"/>
        </w:rPr>
        <w:t xml:space="preserve">4.4 Dichiarazione dei limiti</w:t>
      </w:r>
    </w:p>
    <w:p>
      <w:pPr>
        <w:spacing w:after="160"/>
        <w:jc w:val="both"/>
      </w:pPr>
      <w:r>
        <w:rPr>
          <w:rFonts w:ascii="Arial" w:cs="Arial" w:eastAsia="Arial" w:hAnsi="Arial"/>
          <w:color w:val="1A1A1A"/>
          <w:sz w:val="22"/>
          <w:szCs w:val="22"/>
        </w:rPr>
        <w:t xml:space="preserve">La dichiarazione esplicita dei limiti metodologici è parte integrante della validazione scientifica. Un'analisi che non riconosce i propri limiti è meno credibile, non più credibile, di una che li dichiara onestamente.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Limite</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Impatto potenziale</w:t>
            </w:r>
          </w:p>
        </w:tc>
        <w:tc>
          <w:tcPr>
            <w:tcW w:type="dxa" w:w="4026"/>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Come è stato mitigato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n = 15 gruppi nella regressione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Potere statistico limitato; alcune variabili (Nord) non raggiungono la significatività</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Confermato con bootstrap; triangolato con altri metodi</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Dati aggregati, non microdati individuali</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Non possiamo stimare effetti come maternità nella regressione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Citato come evidenza qualitativa da AlmaLaurea Focus 2024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 donne per gruppo stimata da più fonti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Possibile errore di misura nella correlazione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Confermato con Spearman, robusto a perturbazioni</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Area geografica approssimata per gruppo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Il coefficiente Nord potrebbe essere distorto</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Dichiarato come limitazione; non interpretato in isolamento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Salari auto-dichiarati dai laureati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Possibile sottostima sistematica, specie per le donne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color w:val="1A1A1A"/>
                <w:sz w:val="19"/>
                <w:szCs w:val="19"/>
              </w:rPr>
              <w:t xml:space="preserve">Citato come fonte di conservatorismo nelle stime del gap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Correlazione ≠ causalità</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Non possiamo escludere variabili confondenti non misurate</w:t>
            </w:r>
          </w:p>
        </w:tc>
        <w:tc>
          <w:tcPr>
            <w:tcW w:type="dxa" w:w="4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both"/>
            </w:pPr>
            <w:r>
              <w:rPr>
                <w:rFonts w:ascii="Arial" w:cs="Arial" w:eastAsia="Arial" w:hAnsi="Arial"/>
                <w:color w:val="1A1A1A"/>
                <w:sz w:val="19"/>
                <w:szCs w:val="19"/>
              </w:rPr>
              <w:t xml:space="preserve">Conclusioni formulate in termini associativi, non causali</w:t>
            </w:r>
          </w:p>
        </w:tc>
      </w:tr>
    </w:tbl>
    <w:p>
      <w:pPr>
        <w:spacing w:after="16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5. Il Fattore Umano</w:t>
      </w:r>
    </w:p>
    <w:p>
      <w:pPr>
        <w:spacing w:after="160"/>
        <w:jc w:val="both"/>
      </w:pPr>
      <w:r>
        <w:rPr>
          <w:rFonts w:ascii="Arial" w:cs="Arial" w:eastAsia="Arial" w:hAnsi="Arial"/>
          <w:color w:val="1A1A1A"/>
          <w:sz w:val="22"/>
          <w:szCs w:val="22"/>
        </w:rPr>
        <w:t xml:space="preserve">I dati non esistono nel vuoto. Dietro ogni numero ci sono scelte, pressioni, aspettative e vincoli che appartengono alla vita reale di persone reali. Human Data Science richiede di non fermarsi al risultato statistico, ma di chiedersi: perché? Chi sono le persone in questi dati? Cosa li ha portati qui?</w:t>
      </w:r>
    </w:p>
    <w:p>
      <w:pPr>
        <w:spacing w:after="160"/>
      </w:pPr>
    </w:p>
    <w:p>
      <w:pPr>
        <w:pStyle w:val="Heading2"/>
        <w:spacing w:after="160" w:before="320"/>
      </w:pPr>
      <w:r>
        <w:rPr>
          <w:rFonts w:ascii="Arial" w:cs="Arial" w:eastAsia="Arial" w:hAnsi="Arial"/>
          <w:b/>
          <w:bCs/>
          <w:color w:val="1F5C99"/>
          <w:sz w:val="26"/>
          <w:szCs w:val="26"/>
        </w:rPr>
        <w:t xml:space="preserve">5.1 Chi sono i numeri</w:t>
      </w:r>
    </w:p>
    <w:p>
      <w:pPr>
        <w:spacing w:after="160"/>
        <w:jc w:val="both"/>
      </w:pPr>
      <w:r>
        <w:rPr>
          <w:rFonts w:ascii="Arial" w:cs="Arial" w:eastAsia="Arial" w:hAnsi="Arial"/>
          <w:color w:val="1A1A1A"/>
          <w:sz w:val="22"/>
          <w:szCs w:val="22"/>
        </w:rPr>
        <w:t xml:space="preserve">La donna con il voto più alto della sua classe in Informatica che, cinque anni dopo la laurea, guadagna €292 al mese meno del suo collega con voto più basso — non è un'anomalia statistica. È il dato medio aggregato di migliaia di carriere reali. Ogni riga del dataset AlmaLaurea è una persona che ha risposto a un questionario, ha raccontato il suo stipendio, ha descritto il suo contratto.</w:t>
      </w:r>
    </w:p>
    <w:p>
      <w:pPr>
        <w:spacing w:after="80"/>
      </w:pPr>
    </w:p>
    <w:p>
      <w:pPr>
        <w:spacing w:after="160"/>
        <w:jc w:val="both"/>
      </w:pPr>
      <w:r>
        <w:rPr>
          <w:rFonts w:ascii="Arial" w:cs="Arial" w:eastAsia="Arial" w:hAnsi="Arial"/>
          <w:color w:val="1A1A1A"/>
          <w:sz w:val="22"/>
          <w:szCs w:val="22"/>
        </w:rPr>
        <w:t xml:space="preserve">I 15 gruppi disciplinari dell'analisi non sono categorie astratte: sono medici, ingegnere, informatiche, psicologhe, insegnanti. Il gap di €25/mese in Educazione e Formazione e quello di €292/mese in Informatica non hanno la stessa natura: il primo può riflettere contratti collettivi più standardizzati nel settore scolastico; il secondo riflette una discriminazione molto più marcata in un settore dove la libertà negoziale è alta e i bias impliciti nella negoziazione salariale sono documentati.</w:t>
      </w:r>
    </w:p>
    <w:p>
      <w:pPr>
        <w:spacing w:after="160"/>
      </w:pPr>
    </w:p>
    <w:p>
      <w:pPr>
        <w:pStyle w:val="Heading2"/>
        <w:spacing w:after="160" w:before="320"/>
      </w:pPr>
      <w:r>
        <w:rPr>
          <w:rFonts w:ascii="Arial" w:cs="Arial" w:eastAsia="Arial" w:hAnsi="Arial"/>
          <w:b/>
          <w:bCs/>
          <w:color w:val="1F5C99"/>
          <w:sz w:val="26"/>
          <w:szCs w:val="26"/>
        </w:rPr>
        <w:t xml:space="preserve">5.2 Perché il gap esiste: i meccanismi umani</w:t>
      </w:r>
    </w:p>
    <w:p>
      <w:pPr>
        <w:spacing w:after="160"/>
        <w:jc w:val="both"/>
      </w:pPr>
      <w:r>
        <w:rPr>
          <w:rFonts w:ascii="Arial" w:cs="Arial" w:eastAsia="Arial" w:hAnsi="Arial"/>
          <w:color w:val="1A1A1A"/>
          <w:sz w:val="22"/>
          <w:szCs w:val="22"/>
        </w:rPr>
        <w:t xml:space="preserve">I dati mostrano il cosa, ma non spiegano automaticamente il perché. La letteratura sociologica ed economica identifica diversi meccanismi che operano in sequenza nel corso della vita di una donna con aspirazioni STEM.</w:t>
      </w:r>
    </w:p>
    <w:p>
      <w:pPr>
        <w:spacing w:after="80"/>
      </w:pPr>
    </w:p>
    <w:p>
      <w:pPr>
        <w:spacing w:after="100" w:before="240"/>
      </w:pPr>
      <w:r>
        <w:rPr>
          <w:rFonts w:ascii="Arial" w:cs="Arial" w:eastAsia="Arial" w:hAnsi="Arial"/>
          <w:b/>
          <w:bCs/>
          <w:color w:val="1A1A1A"/>
          <w:sz w:val="23"/>
          <w:szCs w:val="23"/>
        </w:rPr>
        <w:t xml:space="preserve">Il momento della scelta universitaria</w:t>
      </w:r>
    </w:p>
    <w:p>
      <w:pPr>
        <w:spacing w:after="160"/>
        <w:jc w:val="both"/>
      </w:pPr>
      <w:r>
        <w:rPr>
          <w:rFonts w:ascii="Arial" w:cs="Arial" w:eastAsia="Arial" w:hAnsi="Arial"/>
          <w:color w:val="1A1A1A"/>
          <w:sz w:val="22"/>
          <w:szCs w:val="22"/>
        </w:rPr>
        <w:t xml:space="preserve">La sottorappresentazione femminile in Informatica (20%) e Ingegneria industriale (26%) non dipende da un'incapacità delle donne per queste discipline: i voti di laurea più alti lo escludono empiricamente. Dipende da una serie di influenze culturali che si accumulano nel corso degli anni scolastici: aspettative degli insegnanti, stereotipi familiari, mancanza di modelli femminili nel settore, rappresentazione nei media. Le ragazze che scelgono Informatica lo fanno nonostante queste pressioni — non perché ne siano immuni.</w:t>
      </w:r>
    </w:p>
    <w:p>
      <w:pPr>
        <w:spacing w:after="80"/>
      </w:pPr>
    </w:p>
    <w:p>
      <w:pPr>
        <w:spacing w:after="100" w:before="240"/>
      </w:pPr>
      <w:r>
        <w:rPr>
          <w:rFonts w:ascii="Arial" w:cs="Arial" w:eastAsia="Arial" w:hAnsi="Arial"/>
          <w:b/>
          <w:bCs/>
          <w:color w:val="1A1A1A"/>
          <w:sz w:val="23"/>
          <w:szCs w:val="23"/>
        </w:rPr>
        <w:t xml:space="preserve">Il momento della negoziazione salariale</w:t>
      </w:r>
    </w:p>
    <w:p>
      <w:pPr>
        <w:spacing w:after="160"/>
        <w:jc w:val="both"/>
      </w:pPr>
      <w:r>
        <w:rPr>
          <w:rFonts w:ascii="Arial" w:cs="Arial" w:eastAsia="Arial" w:hAnsi="Arial"/>
          <w:color w:val="1A1A1A"/>
          <w:sz w:val="22"/>
          <w:szCs w:val="22"/>
        </w:rPr>
        <w:t xml:space="preserve">Ricerche sperimentali (Babcock &amp; Laschever, 2003; Leibbrandt &amp; List, 2015) mostrano che le donne negoziano i salari in modo meno aggressivo degli uomini, in parte per aspettativa razionale: le donne che negoziano vengono percepite più negativamente dagli interlocutori maschili rispetto agli uomini che adottano lo stesso comportamento. Il bias non è nell'intenzione cosciente, ma nel sistema di aspettative sociali che permea il processo di assunzione.</w:t>
      </w:r>
    </w:p>
    <w:p>
      <w:pPr>
        <w:spacing w:after="80"/>
      </w:pPr>
    </w:p>
    <w:p>
      <w:pPr>
        <w:spacing w:after="100" w:before="240"/>
      </w:pPr>
      <w:r>
        <w:rPr>
          <w:rFonts w:ascii="Arial" w:cs="Arial" w:eastAsia="Arial" w:hAnsi="Arial"/>
          <w:b/>
          <w:bCs/>
          <w:color w:val="1A1A1A"/>
          <w:sz w:val="23"/>
          <w:szCs w:val="23"/>
        </w:rPr>
        <w:t xml:space="preserve">La segregazione occupazionale verticale</w:t>
      </w:r>
    </w:p>
    <w:p>
      <w:pPr>
        <w:spacing w:after="160"/>
        <w:jc w:val="both"/>
      </w:pPr>
      <w:r>
        <w:rPr>
          <w:rFonts w:ascii="Arial" w:cs="Arial" w:eastAsia="Arial" w:hAnsi="Arial"/>
          <w:color w:val="1A1A1A"/>
          <w:sz w:val="22"/>
          <w:szCs w:val="22"/>
        </w:rPr>
        <w:t xml:space="preserve">La correlazione di Pearson r = −0.673 tra percentuale di donne e salario medio del settore non dimostra che le donne abbassino i salari. Documenta un fenomeno inverso: i settori che nel tempo si sono femminilizzati hanno visto erodere il loro status socioeconomico e i loro salari. È la cosiddetta devalutazione occupazionale — le professioni perdono prestigio e retribuzione nel momento in cui diventano prevalentemente femminili (Levanon, England &amp; Allison, 2009).</w:t>
      </w:r>
    </w:p>
    <w:p>
      <w:pPr>
        <w:spacing w:after="160"/>
      </w:pPr>
    </w:p>
    <w:p>
      <w:pPr>
        <w:pStyle w:val="Heading2"/>
        <w:spacing w:after="160" w:before="320"/>
      </w:pPr>
      <w:r>
        <w:rPr>
          <w:rFonts w:ascii="Arial" w:cs="Arial" w:eastAsia="Arial" w:hAnsi="Arial"/>
          <w:b/>
          <w:bCs/>
          <w:color w:val="1F5C99"/>
          <w:sz w:val="26"/>
          <w:szCs w:val="26"/>
        </w:rPr>
        <w:t xml:space="preserve">5.3 L'effetto maternità — il punto più umano dell'intera analisi</w:t>
      </w:r>
    </w:p>
    <w:p>
      <w:pPr>
        <w:spacing w:after="160"/>
        <w:jc w:val="both"/>
      </w:pPr>
      <w:r>
        <w:rPr>
          <w:rFonts w:ascii="Arial" w:cs="Arial" w:eastAsia="Arial" w:hAnsi="Arial"/>
          <w:color w:val="1A1A1A"/>
          <w:sz w:val="22"/>
          <w:szCs w:val="22"/>
        </w:rPr>
        <w:t xml:space="preserve">Nessun dato in questa relazione è più rivelatore di questo: il gap salariale tra donne e uomini senza figli è 11.8%. Con figli, sale al 20.0%. Per gli uomini, avere figli fa aumentare il salario (+€88/mese): un fenomeno noto in letteratura come "bonus paternità". Per le donne fa scendere salario e tasso di occupazione.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CEA" w:val="clear"/>
            <w:tcMar>
              <w:top w:type="dxa" w:w="160"/>
              <w:left w:type="dxa" w:w="220"/>
              <w:bottom w:type="dxa" w:w="160"/>
              <w:right w:type="dxa" w:w="220"/>
            </w:tcMar>
          </w:tcPr>
          <w:p>
            <w:pPr>
              <w:spacing w:after="80"/>
            </w:pPr>
            <w:r>
              <w:rPr>
                <w:rFonts w:ascii="Arial" w:cs="Arial" w:eastAsia="Arial" w:hAnsi="Arial"/>
                <w:b/>
                <w:bCs/>
                <w:color w:val="1A1A1A"/>
                <w:sz w:val="22"/>
                <w:szCs w:val="22"/>
              </w:rPr>
              <w:t xml:space="preserve">I numeri dell'effetto maternità (AlmaLaurea Focus Gender Gap 2024)</w:t>
            </w:r>
          </w:p>
          <w:p>
            <w:pPr>
              <w:spacing w:after="60"/>
              <w:jc w:val="both"/>
            </w:pPr>
            <w:r>
              <w:rPr>
                <w:rFonts w:ascii="Arial" w:cs="Arial" w:eastAsia="Arial" w:hAnsi="Arial"/>
                <w:color w:val="1A1A1A"/>
                <w:sz w:val="21"/>
                <w:szCs w:val="21"/>
              </w:rPr>
              <w:t xml:space="preserve">Laureati di 2° livello a 5 anni, tempo pieno, che hanno iniziato il lavoro dopo la laurea:</w:t>
            </w:r>
          </w:p>
          <w:p>
            <w:pPr>
              <w:spacing w:after="60"/>
              <w:jc w:val="both"/>
            </w:pPr>
            <w:r>
              <w:rPr>
                <w:rFonts w:ascii="Arial" w:cs="Arial" w:eastAsia="Arial" w:hAnsi="Arial"/>
                <w:color w:val="1A1A1A"/>
                <w:sz w:val="21"/>
                <w:szCs w:val="21"/>
              </w:rPr>
              <w:t xml:space="preserve"/>
            </w:r>
          </w:p>
          <w:p>
            <w:pPr>
              <w:spacing w:after="60"/>
              <w:jc w:val="both"/>
            </w:pPr>
            <w:r>
              <w:rPr>
                <w:rFonts w:ascii="Arial" w:cs="Arial" w:eastAsia="Arial" w:hAnsi="Arial"/>
                <w:color w:val="1A1A1A"/>
                <w:sz w:val="21"/>
                <w:szCs w:val="21"/>
              </w:rPr>
              <w:t xml:space="preserve">  SENZA FIGLI:</w:t>
            </w:r>
          </w:p>
          <w:p>
            <w:pPr>
              <w:spacing w:after="60"/>
              <w:jc w:val="both"/>
            </w:pPr>
            <w:r>
              <w:rPr>
                <w:rFonts w:ascii="Arial" w:cs="Arial" w:eastAsia="Arial" w:hAnsi="Arial"/>
                <w:color w:val="1A1A1A"/>
                <w:sz w:val="21"/>
                <w:szCs w:val="21"/>
              </w:rPr>
              <w:t xml:space="preserve">    Uomini: €1.868/mese   Donne: €1.647/mese   Gap: 11.8%</w:t>
            </w:r>
          </w:p>
          <w:p>
            <w:pPr>
              <w:spacing w:after="60"/>
              <w:jc w:val="both"/>
            </w:pPr>
            <w:r>
              <w:rPr>
                <w:rFonts w:ascii="Arial" w:cs="Arial" w:eastAsia="Arial" w:hAnsi="Arial"/>
                <w:color w:val="1A1A1A"/>
                <w:sz w:val="21"/>
                <w:szCs w:val="21"/>
              </w:rPr>
              <w:t xml:space="preserve"/>
            </w:r>
          </w:p>
          <w:p>
            <w:pPr>
              <w:spacing w:after="60"/>
              <w:jc w:val="both"/>
            </w:pPr>
            <w:r>
              <w:rPr>
                <w:rFonts w:ascii="Arial" w:cs="Arial" w:eastAsia="Arial" w:hAnsi="Arial"/>
                <w:color w:val="1A1A1A"/>
                <w:sz w:val="21"/>
                <w:szCs w:val="21"/>
              </w:rPr>
              <w:t xml:space="preserve">  CON FIGLI:</w:t>
            </w:r>
          </w:p>
          <w:p>
            <w:pPr>
              <w:spacing w:after="60"/>
              <w:jc w:val="both"/>
            </w:pPr>
            <w:r>
              <w:rPr>
                <w:rFonts w:ascii="Arial" w:cs="Arial" w:eastAsia="Arial" w:hAnsi="Arial"/>
                <w:color w:val="1A1A1A"/>
                <w:sz w:val="21"/>
                <w:szCs w:val="21"/>
              </w:rPr>
              <w:t xml:space="preserve">    Uomini: €1.956/mese   Donne: €1.565/mese   Gap: 20.0%</w:t>
            </w:r>
          </w:p>
          <w:p>
            <w:pPr>
              <w:spacing w:after="60"/>
              <w:jc w:val="both"/>
            </w:pPr>
            <w:r>
              <w:rPr>
                <w:rFonts w:ascii="Arial" w:cs="Arial" w:eastAsia="Arial" w:hAnsi="Arial"/>
                <w:color w:val="1A1A1A"/>
                <w:sz w:val="21"/>
                <w:szCs w:val="21"/>
              </w:rPr>
              <w:t xml:space="preserve"/>
            </w:r>
          </w:p>
          <w:p>
            <w:pPr>
              <w:spacing w:after="60"/>
              <w:jc w:val="both"/>
            </w:pPr>
            <w:r>
              <w:rPr>
                <w:rFonts w:ascii="Arial" w:cs="Arial" w:eastAsia="Arial" w:hAnsi="Arial"/>
                <w:color w:val="1A1A1A"/>
                <w:sz w:val="21"/>
                <w:szCs w:val="21"/>
              </w:rPr>
              <w:t xml:space="preserve">  Il gap quasi raddoppia. Per gli uomini i figli valgono +€88/mese.</w:t>
            </w:r>
          </w:p>
          <w:p>
            <w:pPr>
              <w:spacing w:after="60"/>
              <w:jc w:val="both"/>
            </w:pPr>
            <w:r>
              <w:rPr>
                <w:rFonts w:ascii="Arial" w:cs="Arial" w:eastAsia="Arial" w:hAnsi="Arial"/>
                <w:color w:val="1A1A1A"/>
                <w:sz w:val="21"/>
                <w:szCs w:val="21"/>
              </w:rPr>
              <w:t xml:space="preserve">  Per le donne valgono -€82/mese e un tasso di occupazione che scende</w:t>
            </w:r>
          </w:p>
          <w:p>
            <w:pPr>
              <w:spacing w:after="60"/>
              <w:jc w:val="both"/>
            </w:pPr>
            <w:r>
              <w:rPr>
                <w:rFonts w:ascii="Arial" w:cs="Arial" w:eastAsia="Arial" w:hAnsi="Arial"/>
                <w:color w:val="1A1A1A"/>
                <w:sz w:val="21"/>
                <w:szCs w:val="21"/>
              </w:rPr>
              <w:t xml:space="preserve">  dal 88.0% (senza figli) al 72.6% (con figli). Per gli uomini resta al 93%.</w:t>
            </w:r>
          </w:p>
        </w:tc>
      </w:tr>
    </w:tbl>
    <w:p>
      <w:pPr>
        <w:spacing w:after="80"/>
      </w:pPr>
    </w:p>
    <w:p>
      <w:pPr>
        <w:spacing w:after="160"/>
        <w:jc w:val="both"/>
      </w:pPr>
      <w:r>
        <w:rPr>
          <w:rFonts w:ascii="Arial" w:cs="Arial" w:eastAsia="Arial" w:hAnsi="Arial"/>
          <w:color w:val="1A1A1A"/>
          <w:sz w:val="22"/>
          <w:szCs w:val="22"/>
        </w:rPr>
        <w:t xml:space="preserve">Questa asimmetria non è biologica: è strutturale. Riflette la distribuzione del lavoro di cura all'interno delle famiglie, la scarsa diffusione del congedo parentale obbligatorio per i padri in Italia, la carenza di asili nido pubblici, e le aspettative sociali che ancora associano prevalentemente alla donna la responsabilità della cura dei figli.</w:t>
      </w:r>
    </w:p>
    <w:p>
      <w:pPr>
        <w:spacing w:after="80"/>
      </w:pPr>
    </w:p>
    <w:p>
      <w:pPr>
        <w:spacing w:after="160"/>
        <w:jc w:val="both"/>
      </w:pPr>
      <w:r>
        <w:rPr>
          <w:rFonts w:ascii="Arial" w:cs="Arial" w:eastAsia="Arial" w:hAnsi="Arial"/>
          <w:color w:val="1A1A1A"/>
          <w:sz w:val="22"/>
          <w:szCs w:val="22"/>
        </w:rPr>
        <w:t xml:space="preserve">Il fatto che l'effetto maternità non sia misurabile direttamente nella nostra regressione — perché lavoriamo con dati aggregati, non con microdati individuali — è esso stesso un dato: le statistiche pubblicamente disponibili non permettono di isolare questo effetto con precisione. Sarebbe necessario l'accesso ai microdati AlmaLaurea, disponibili solo per soggetti accreditati.</w:t>
      </w:r>
    </w:p>
    <w:p>
      <w:pPr>
        <w:spacing w:after="160"/>
      </w:pPr>
    </w:p>
    <w:p>
      <w:pPr>
        <w:pStyle w:val="Heading2"/>
        <w:spacing w:after="160" w:before="320"/>
      </w:pPr>
      <w:r>
        <w:rPr>
          <w:rFonts w:ascii="Arial" w:cs="Arial" w:eastAsia="Arial" w:hAnsi="Arial"/>
          <w:b/>
          <w:bCs/>
          <w:color w:val="1F5C99"/>
          <w:sz w:val="26"/>
          <w:szCs w:val="26"/>
        </w:rPr>
        <w:t xml:space="preserve">5.4 Il bias nei dati stessi</w:t>
      </w:r>
    </w:p>
    <w:p>
      <w:pPr>
        <w:spacing w:after="160"/>
        <w:jc w:val="both"/>
      </w:pPr>
      <w:r>
        <w:rPr>
          <w:rFonts w:ascii="Arial" w:cs="Arial" w:eastAsia="Arial" w:hAnsi="Arial"/>
          <w:color w:val="1A1A1A"/>
          <w:sz w:val="22"/>
          <w:szCs w:val="22"/>
        </w:rPr>
        <w:t xml:space="preserve">Un aspetto spesso trascurato nell'analisi dei dati è che i dati non sono neutri: riflettono i bias del sistema che li produce. Nel nostro caso:</w:t>
      </w:r>
    </w:p>
    <w:p>
      <w:pPr>
        <w:spacing w:after="80"/>
      </w:pPr>
    </w:p>
    <w:p>
      <w:pPr>
        <w:pStyle w:val="ListParagraph"/>
        <w:numPr>
          <w:ilvl w:val="0"/>
          <w:numId w:val="2"/>
        </w:numPr>
        <w:spacing w:after="100"/>
        <w:jc w:val="both"/>
      </w:pPr>
      <w:r>
        <w:rPr>
          <w:rFonts w:ascii="Arial" w:cs="Arial" w:eastAsia="Arial" w:hAnsi="Arial"/>
          <w:color w:val="1A1A1A"/>
          <w:sz w:val="22"/>
          <w:szCs w:val="22"/>
        </w:rPr>
        <w:t xml:space="preserve">I salari AlmaLaurea sono auto-dichiarati: la letteratura mostra che le donne tendono a sottodichiarare il proprio salario più degli uomini (Roth et al., 2012). Questo significa che il gap reale potrebbe essere superiore a quello che misuriamo.</w:t>
      </w:r>
    </w:p>
    <w:p>
      <w:pPr>
        <w:pStyle w:val="ListParagraph"/>
        <w:numPr>
          <w:ilvl w:val="0"/>
          <w:numId w:val="2"/>
        </w:numPr>
        <w:spacing w:after="100"/>
        <w:jc w:val="both"/>
      </w:pPr>
      <w:r>
        <w:rPr>
          <w:rFonts w:ascii="Arial" w:cs="Arial" w:eastAsia="Arial" w:hAnsi="Arial"/>
          <w:color w:val="1A1A1A"/>
          <w:sz w:val="22"/>
          <w:szCs w:val="22"/>
        </w:rPr>
        <w:t xml:space="preserve">Il dataset MUR non include il lavoro informale e sommerso, più diffuso in alcuni settori e aree geografiche. Se le donne sono più concentrate nel lavoro informale (per scelta o necessità), la loro situazione reale è peggiore di quanto i numeri mostrino.</w:t>
      </w:r>
    </w:p>
    <w:p>
      <w:pPr>
        <w:pStyle w:val="ListParagraph"/>
        <w:numPr>
          <w:ilvl w:val="0"/>
          <w:numId w:val="2"/>
        </w:numPr>
        <w:spacing w:after="100"/>
        <w:jc w:val="both"/>
      </w:pPr>
      <w:r>
        <w:rPr>
          <w:rFonts w:ascii="Arial" w:cs="Arial" w:eastAsia="Arial" w:hAnsi="Arial"/>
          <w:color w:val="1A1A1A"/>
          <w:sz w:val="22"/>
          <w:szCs w:val="22"/>
        </w:rPr>
        <w:t xml:space="preserve">La definizione STEM del MUR include alcune aree (come Conservazione dei beni culturali) che tradizionalmente non sono percepite come STEM. Questo gonfia artificialmente la percentuale femminile nelle STEM rispetto alla percezione comune.</w:t>
      </w:r>
    </w:p>
    <w:p>
      <w:pPr>
        <w:spacing w:after="80"/>
      </w:pPr>
    </w:p>
    <w:p>
      <w:pPr>
        <w:spacing w:after="160"/>
        <w:jc w:val="both"/>
      </w:pPr>
      <w:r>
        <w:rPr>
          <w:rFonts w:ascii="Arial" w:cs="Arial" w:eastAsia="Arial" w:hAnsi="Arial"/>
          <w:color w:val="1A1A1A"/>
          <w:sz w:val="22"/>
          <w:szCs w:val="22"/>
        </w:rPr>
        <w:t xml:space="preserve">Queste non sono scuse per i risultati: i dati mostrano comunque un gap significativo. Ma dichiarare che i dati sono costruzioni umane — con i loro limiti e bias — fa parte dell'analisi onesta.</w:t>
      </w:r>
    </w:p>
    <w:p>
      <w:pPr>
        <w:spacing w:after="160"/>
      </w:pPr>
    </w:p>
    <w:p>
      <w:pPr>
        <w:pStyle w:val="Heading2"/>
        <w:spacing w:after="160" w:before="320"/>
      </w:pPr>
      <w:r>
        <w:rPr>
          <w:rFonts w:ascii="Arial" w:cs="Arial" w:eastAsia="Arial" w:hAnsi="Arial"/>
          <w:b/>
          <w:bCs/>
          <w:color w:val="1F5C99"/>
          <w:sz w:val="26"/>
          <w:szCs w:val="26"/>
        </w:rPr>
        <w:t xml:space="preserve">5.5 Le implicazioni: cosa cambiare</w:t>
      </w:r>
    </w:p>
    <w:p>
      <w:pPr>
        <w:spacing w:after="160"/>
        <w:jc w:val="both"/>
      </w:pPr>
      <w:r>
        <w:rPr>
          <w:rFonts w:ascii="Arial" w:cs="Arial" w:eastAsia="Arial" w:hAnsi="Arial"/>
          <w:color w:val="1A1A1A"/>
          <w:sz w:val="22"/>
          <w:szCs w:val="22"/>
        </w:rPr>
        <w:t xml:space="preserve">I dati non prescrivono politiche — ma le rendono necessarie. Se il gap strutturale di €105/mese esiste a parità di ogni fattore misurabile, e se raddoppia in presenza di figli, allora le misure che agiscono solo sul punto di accesso ("dobbiamo convincere più donne a iscriversi a Informatica") sono insufficienti. I meccanismi che producono il gap operano lungo tutta la carriera lavorativa.</w:t>
      </w:r>
    </w:p>
    <w:p>
      <w:pPr>
        <w:spacing w:after="80"/>
      </w:pPr>
    </w:p>
    <w:p>
      <w:pPr>
        <w:spacing w:after="160"/>
        <w:jc w:val="both"/>
      </w:pPr>
      <w:r>
        <w:rPr>
          <w:rFonts w:ascii="Arial" w:cs="Arial" w:eastAsia="Arial" w:hAnsi="Arial"/>
          <w:color w:val="1A1A1A"/>
          <w:sz w:val="22"/>
          <w:szCs w:val="22"/>
        </w:rPr>
        <w:t xml:space="preserve">Le politiche più efficaci identificate dalla letteratura economica includono: congedo parentale obbligatorio e ben retribuito per i padri (che riduce l'asimmetria del costo della maternità tra i due genitori), obblighi di trasparenza salariale nelle aziende (già in vigore in diversi paesi europei), e investimento pubblico in asili nido (che permette alle donne di mantenere continuità lavorativa dopo la nascita di un figlio).</w:t>
      </w:r>
    </w:p>
    <w:p>
      <w:pPr>
        <w:spacing w:after="80"/>
      </w:pPr>
    </w:p>
    <w:p>
      <w:pPr>
        <w:spacing w:after="160"/>
        <w:jc w:val="both"/>
      </w:pPr>
      <w:r>
        <w:rPr>
          <w:rFonts w:ascii="Arial" w:cs="Arial" w:eastAsia="Arial" w:hAnsi="Arial"/>
          <w:color w:val="1A1A1A"/>
          <w:sz w:val="22"/>
          <w:szCs w:val="22"/>
        </w:rPr>
        <w:t xml:space="preserve">Non è compito di questo progetto risolvere il problema. È compito di questo progetto renderlo visibile, misurabile, e impossibile da ignorare.</w:t>
      </w:r>
    </w:p>
    <w:p>
      <w:pPr>
        <w:spacing w:after="16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6. Conclusioni</w:t>
      </w:r>
    </w:p>
    <w:p>
      <w:pPr>
        <w:spacing w:after="160"/>
        <w:jc w:val="both"/>
      </w:pPr>
      <w:r>
        <w:rPr>
          <w:rFonts w:ascii="Arial" w:cs="Arial" w:eastAsia="Arial" w:hAnsi="Arial"/>
          <w:color w:val="1A1A1A"/>
          <w:sz w:val="22"/>
          <w:szCs w:val="22"/>
        </w:rPr>
        <w:t xml:space="preserve">Siamo partiti da una domanda: le donne che scelgono percorsi STEM vengono trattate equamente nel mondo del lavoro italiano? L'analisi condotta su dati ufficiali MUR e AlmaLaurea fornisce una risposta articolata, ma inequivoca.</w:t>
      </w:r>
    </w:p>
    <w:p>
      <w:pPr>
        <w:spacing w:after="80"/>
      </w:pPr>
    </w:p>
    <w:p>
      <w:pPr>
        <w:spacing w:after="160"/>
        <w:jc w:val="both"/>
      </w:pPr>
      <w:r>
        <w:rPr>
          <w:rFonts w:ascii="Arial" w:cs="Arial" w:eastAsia="Arial" w:hAnsi="Arial"/>
          <w:color w:val="1A1A1A"/>
          <w:sz w:val="22"/>
          <w:szCs w:val="22"/>
        </w:rPr>
        <w:t xml:space="preserve">Le donne laureate in discipline STEM in Italia ottengono voti di laurea mediamente più alti degli uomini (107.9 contro 105.9/110 nel collettivo analizzato) e si laureano con maggiore regolarità. Nonostante questo, a cinque anni dalla laurea guadagnano meno degli uomini in tutti e 15 i gruppi disciplinari considerati, senza eccezione. Il paired T-test conferma che questo gap è sistematico e statisticamente significativo (t = 7.39, p = 0.000003, Cohen's d = 1.91), con un intervallo di confidenza al 95% stimato tra €104 e €177 al mese tramite bootstrap.</w:t>
      </w:r>
    </w:p>
    <w:p>
      <w:pPr>
        <w:spacing w:after="80"/>
      </w:pPr>
    </w:p>
    <w:p>
      <w:pPr>
        <w:spacing w:after="160"/>
        <w:jc w:val="both"/>
      </w:pPr>
      <w:r>
        <w:rPr>
          <w:rFonts w:ascii="Arial" w:cs="Arial" w:eastAsia="Arial" w:hAnsi="Arial"/>
          <w:color w:val="1A1A1A"/>
          <w:sz w:val="22"/>
          <w:szCs w:val="22"/>
        </w:rPr>
        <w:t xml:space="preserve">La regressione multipla isola un gap strutturale di €105 al mese attribuibile al solo genere, a parità di voto di laurea, area geografica di lavoro e tipo di percorso (STEM o non-STEM). Non è la facoltà sbagliata, non è il voto insufficiente, non è la città sbagliata: è il genere che penalizza, a parità di tutto il resto. In trent'anni di carriera, questo equivale a circa €38.000 di mancato guadagno.</w:t>
      </w:r>
    </w:p>
    <w:p>
      <w:pPr>
        <w:spacing w:after="80"/>
      </w:pPr>
    </w:p>
    <w:p>
      <w:pPr>
        <w:spacing w:after="160"/>
        <w:jc w:val="both"/>
      </w:pPr>
      <w:r>
        <w:rPr>
          <w:rFonts w:ascii="Arial" w:cs="Arial" w:eastAsia="Arial" w:hAnsi="Arial"/>
          <w:color w:val="1A1A1A"/>
          <w:sz w:val="22"/>
          <w:szCs w:val="22"/>
        </w:rPr>
        <w:t xml:space="preserve">La correlazione di Pearson (r = −0.673) e l'indice di segregazione occupazionale mostrano inoltre che le donne sono strutturalmente concentrate nei settori meno remunerativi, e che i settori dove le donne sono più presenti tendono ad avere salari medi più bassi per tutti. L'effetto maternità amplifica ulteriormente queste disuguaglianze: il gap salariale passa dall'11.8% senza figli al 20.0% con figli.</w:t>
      </w:r>
    </w:p>
    <w:p>
      <w:pPr>
        <w:spacing w:after="80"/>
      </w:pPr>
    </w:p>
    <w:p>
      <w:pPr>
        <w:pBdr>
          <w:left w:val="single" w:color="1F5C99" w:sz="10" w:space="10"/>
        </w:pBdr>
        <w:spacing w:after="140" w:before="100"/>
        <w:ind w:left="500"/>
        <w:jc w:val="both"/>
      </w:pPr>
      <w:r>
        <w:rPr>
          <w:rFonts w:ascii="Arial" w:cs="Arial" w:eastAsia="Arial" w:hAnsi="Arial"/>
          <w:i/>
          <w:iCs/>
          <w:color w:val="1F5C99"/>
          <w:sz w:val="22"/>
          <w:szCs w:val="22"/>
        </w:rPr>
        <w:t xml:space="preserve">"I dati non mostrano che le donne siano meno capaci — i voti più alti lo escludono. Mostrano un sistema che penalizza sistematicamente il lavoro femminile in modo misurabile, coerente tra metodi diversi, e statisticamente inequivocabile. Non è un problema delle donne: è un problema del sistema."</w:t>
      </w:r>
    </w:p>
    <w:p>
      <w:pPr>
        <w:spacing w:after="160"/>
      </w:pPr>
    </w:p>
    <w:p>
      <w:pPr>
        <w:pStyle w:val="Heading2"/>
        <w:spacing w:after="160" w:before="320"/>
      </w:pPr>
      <w:r>
        <w:rPr>
          <w:rFonts w:ascii="Arial" w:cs="Arial" w:eastAsia="Arial" w:hAnsi="Arial"/>
          <w:b/>
          <w:bCs/>
          <w:color w:val="1F5C99"/>
          <w:sz w:val="26"/>
          <w:szCs w:val="26"/>
        </w:rPr>
        <w:t xml:space="preserve">Sviluppi futuri</w:t>
      </w:r>
    </w:p>
    <w:p>
      <w:pPr>
        <w:spacing w:after="160"/>
        <w:jc w:val="both"/>
      </w:pPr>
      <w:r>
        <w:rPr>
          <w:rFonts w:ascii="Arial" w:cs="Arial" w:eastAsia="Arial" w:hAnsi="Arial"/>
          <w:color w:val="1A1A1A"/>
          <w:sz w:val="22"/>
          <w:szCs w:val="22"/>
        </w:rPr>
        <w:t xml:space="preserve">Questo progetto ha lavorato con dati aggregati per gruppi disciplinari. Un'analisi più granulare richiederebbe l'accesso ai microdati individuali AlmaLaurea — disponibili per soggetti accreditati — che permetterebbero di stimare l'effetto maternità nella regressione, controllare per l'esperienza lavorativa, e analizzare la mobilità salariale nel tempo. Sarebbe inoltre interessante estendere l'analisi ai livelli di carriera avanzati (posizioni dirigenziali, professori universitari, CDA aziendali) dove la letteratura suggerisce che il gap tenda ad ampliarsi ulteriormente.</w:t>
      </w:r>
    </w:p>
    <w:p>
      <w:pPr>
        <w:spacing w:after="160"/>
      </w:pPr>
    </w:p>
    <w:p>
      <w:pPr>
        <w:pBdr>
          <w:bottom w:val="single" w:color="CCCCCC" w:sz="4" w:space="1"/>
        </w:pBdr>
        <w:spacing w:after="220"/>
      </w:pPr>
    </w:p>
    <w:p>
      <w:pPr>
        <w:pStyle w:val="Heading1"/>
        <w:spacing w:after="220" w:before="480"/>
      </w:pPr>
      <w:r>
        <w:rPr>
          <w:rFonts w:ascii="Arial" w:cs="Arial" w:eastAsia="Arial" w:hAnsi="Arial"/>
          <w:b/>
          <w:bCs/>
          <w:color w:val="1F5C99"/>
          <w:sz w:val="34"/>
          <w:szCs w:val="34"/>
        </w:rPr>
        <w:t xml:space="preserve">Riferimenti</w:t>
      </w:r>
    </w:p>
    <w:p>
      <w:pPr>
        <w:spacing w:after="160"/>
        <w:jc w:val="both"/>
      </w:pPr>
      <w:r>
        <w:rPr>
          <w:rFonts w:ascii="Arial" w:cs="Arial" w:eastAsia="Arial" w:hAnsi="Arial"/>
          <w:color w:val="1A1A1A"/>
          <w:sz w:val="22"/>
          <w:szCs w:val="22"/>
        </w:rPr>
        <w:t xml:space="preserve">AlmaLaurea (2024). Focus Gender Gap 2024. Consorzio Interuniversitario AlmaLaurea. Disponibile su: almalaurea.it</w:t>
      </w:r>
    </w:p>
    <w:p>
      <w:pPr>
        <w:spacing w:after="160"/>
        <w:jc w:val="both"/>
      </w:pPr>
      <w:r>
        <w:rPr>
          <w:rFonts w:ascii="Arial" w:cs="Arial" w:eastAsia="Arial" w:hAnsi="Arial"/>
          <w:color w:val="1A1A1A"/>
          <w:sz w:val="22"/>
          <w:szCs w:val="22"/>
        </w:rPr>
        <w:t xml:space="preserve">AlmaLaurea (2024). XXVI Indagine sulla Condizione Occupazionale dei Laureati. Rapporto 2024. Consorzio Interuniversitario AlmaLaurea.</w:t>
      </w:r>
    </w:p>
    <w:p>
      <w:pPr>
        <w:spacing w:after="160"/>
        <w:jc w:val="both"/>
      </w:pPr>
      <w:r>
        <w:rPr>
          <w:rFonts w:ascii="Arial" w:cs="Arial" w:eastAsia="Arial" w:hAnsi="Arial"/>
          <w:color w:val="1A1A1A"/>
          <w:sz w:val="22"/>
          <w:szCs w:val="22"/>
        </w:rPr>
        <w:t xml:space="preserve">AlmaLaurea (2024). XXVI Indagine sul Profilo dei Laureati. Rapporto 2024. Consorzio Interuniversitario AlmaLaurea.</w:t>
      </w:r>
    </w:p>
    <w:p>
      <w:pPr>
        <w:spacing w:after="160"/>
        <w:jc w:val="both"/>
      </w:pPr>
      <w:r>
        <w:rPr>
          <w:rFonts w:ascii="Arial" w:cs="Arial" w:eastAsia="Arial" w:hAnsi="Arial"/>
          <w:color w:val="1A1A1A"/>
          <w:sz w:val="22"/>
          <w:szCs w:val="22"/>
        </w:rPr>
        <w:t xml:space="preserve">Babcock, L., &amp; Laschever, S. (2003). Women Don't Ask: Negotiation and the Gender Divide. Princeton University Press.</w:t>
      </w:r>
    </w:p>
    <w:p>
      <w:pPr>
        <w:spacing w:after="160"/>
        <w:jc w:val="both"/>
      </w:pPr>
      <w:r>
        <w:rPr>
          <w:rFonts w:ascii="Arial" w:cs="Arial" w:eastAsia="Arial" w:hAnsi="Arial"/>
          <w:color w:val="1A1A1A"/>
          <w:sz w:val="22"/>
          <w:szCs w:val="22"/>
        </w:rPr>
        <w:t xml:space="preserve">Cheryan, S., Ziegler, S. A., Montoya, A. K., &amp; Jiang, L. (2017). Why are some STEM fields more gender balanced than others? Psychological Bulletin, 143(1), 1-35.</w:t>
      </w:r>
    </w:p>
    <w:p>
      <w:pPr>
        <w:spacing w:after="160"/>
        <w:jc w:val="both"/>
      </w:pPr>
      <w:r>
        <w:rPr>
          <w:rFonts w:ascii="Arial" w:cs="Arial" w:eastAsia="Arial" w:hAnsi="Arial"/>
          <w:color w:val="1A1A1A"/>
          <w:sz w:val="22"/>
          <w:szCs w:val="22"/>
        </w:rPr>
        <w:t xml:space="preserve">Cohen, J. (1988). Statistical Power Analysis for the Behavioral Sciences (2nd ed.). Lawrence Erlbaum Associates.</w:t>
      </w:r>
    </w:p>
    <w:p>
      <w:pPr>
        <w:spacing w:after="160"/>
        <w:jc w:val="both"/>
      </w:pPr>
      <w:r>
        <w:rPr>
          <w:rFonts w:ascii="Arial" w:cs="Arial" w:eastAsia="Arial" w:hAnsi="Arial"/>
          <w:color w:val="1A1A1A"/>
          <w:sz w:val="22"/>
          <w:szCs w:val="22"/>
        </w:rPr>
        <w:t xml:space="preserve">Eurostat (2024). Women in Science and Technology. European Commission.</w:t>
      </w:r>
    </w:p>
    <w:p>
      <w:pPr>
        <w:spacing w:after="160"/>
        <w:jc w:val="both"/>
      </w:pPr>
      <w:r>
        <w:rPr>
          <w:rFonts w:ascii="Arial" w:cs="Arial" w:eastAsia="Arial" w:hAnsi="Arial"/>
          <w:color w:val="1A1A1A"/>
          <w:sz w:val="22"/>
          <w:szCs w:val="22"/>
        </w:rPr>
        <w:t xml:space="preserve">Levanon, A., England, P., &amp; Allison, P. (2009). Occupational feminization and pay: Assessing causal dynamics using 1950-2000 U.S. Census data. Social Forces, 88(2), 865-891.</w:t>
      </w:r>
    </w:p>
    <w:p>
      <w:pPr>
        <w:spacing w:after="160"/>
        <w:jc w:val="both"/>
      </w:pPr>
      <w:r>
        <w:rPr>
          <w:rFonts w:ascii="Arial" w:cs="Arial" w:eastAsia="Arial" w:hAnsi="Arial"/>
          <w:color w:val="1A1A1A"/>
          <w:sz w:val="22"/>
          <w:szCs w:val="22"/>
        </w:rPr>
        <w:t xml:space="preserve">Leibbrandt, A., &amp; List, J. A. (2015). Do women avoid salary negotiations? Evidence from a large-scale natural field experiment. Management Science, 61(9), 2016-2024.</w:t>
      </w:r>
    </w:p>
    <w:p>
      <w:pPr>
        <w:spacing w:after="160"/>
        <w:jc w:val="both"/>
      </w:pPr>
      <w:r>
        <w:rPr>
          <w:rFonts w:ascii="Arial" w:cs="Arial" w:eastAsia="Arial" w:hAnsi="Arial"/>
          <w:color w:val="1A1A1A"/>
          <w:sz w:val="22"/>
          <w:szCs w:val="22"/>
        </w:rPr>
        <w:t xml:space="preserve">Ministero dell'Università e della Ricerca (2024). Dati per Bilancio di Genere — Serie triennale laureati. Open Data MUR. Disponibile su: dati-ustat.mur.gov.it</w:t>
      </w:r>
    </w:p>
    <w:p>
      <w:pPr>
        <w:spacing w:after="160"/>
        <w:jc w:val="both"/>
      </w:pPr>
      <w:r>
        <w:rPr>
          <w:rFonts w:ascii="Arial" w:cs="Arial" w:eastAsia="Arial" w:hAnsi="Arial"/>
          <w:color w:val="1A1A1A"/>
          <w:sz w:val="22"/>
          <w:szCs w:val="22"/>
        </w:rPr>
        <w:t xml:space="preserve">Roth, P. L., Purvis, K. L., &amp; Bobko, P. (2012). A meta-analysis of gender group differences for measures of job performance in field studies. Journal of Management, 38(2), 719-739.</w:t>
      </w:r>
    </w:p>
    <w:sectPr>
      <w:footerReference w:type="default" r:id="rId7"/>
      <w:pgSz w:w="11906" w:h="16838" w:orient="portrait"/>
      <w:pgMar w:top="1300" w:right="130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Human Data Science — STEM Gender Gap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1F5C99"/>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2026-04-13T09:53:20.213Z</dcterms:created>
  <dcterms:modified xsi:type="dcterms:W3CDTF">2026-04-13T09:53:20.214Z</dcterms:modified>
</cp:coreProperties>
</file>

<file path=docProps/custom.xml><?xml version="1.0" encoding="utf-8"?>
<Properties xmlns="http://schemas.openxmlformats.org/officeDocument/2006/custom-properties" xmlns:vt="http://schemas.openxmlformats.org/officeDocument/2006/docPropsVTypes"/>
</file>