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44CAF" w14:textId="77777777" w:rsidR="005F448B" w:rsidRPr="00F34EA8" w:rsidRDefault="00000000">
      <w:pPr>
        <w:pStyle w:val="Title"/>
        <w:rPr>
          <w:rFonts w:ascii="Aptos" w:hAnsi="Aptos"/>
        </w:rPr>
      </w:pPr>
      <w:r w:rsidRPr="00F34EA8">
        <w:rPr>
          <w:rFonts w:ascii="Aptos" w:hAnsi="Aptos"/>
        </w:rPr>
        <w:t>Predicting Radiolytic Gas Generation in Disposed Molten Salt Reactor Fuels</w:t>
      </w:r>
    </w:p>
    <w:p w14:paraId="27410D7B" w14:textId="240EEAC2" w:rsidR="005F448B" w:rsidRPr="00F34EA8" w:rsidRDefault="00000000">
      <w:pPr>
        <w:pStyle w:val="Heading2"/>
        <w:rPr>
          <w:rFonts w:ascii="Aptos" w:hAnsi="Aptos"/>
        </w:rPr>
      </w:pPr>
      <w:bookmarkStart w:id="0" w:name="X3f71bcd22301f26ea4dd54df77c22fc9d9b2955"/>
      <w:bookmarkStart w:id="1" w:name="the-disposal-problem"/>
      <w:r w:rsidRPr="00F34EA8">
        <w:rPr>
          <w:rFonts w:ascii="Aptos" w:hAnsi="Aptos"/>
        </w:rPr>
        <w:t xml:space="preserve">1. </w:t>
      </w:r>
      <w:r w:rsidR="00F34EA8">
        <w:rPr>
          <w:rFonts w:ascii="Aptos" w:hAnsi="Aptos"/>
        </w:rPr>
        <w:t>Radiolysis in t</w:t>
      </w:r>
      <w:r w:rsidRPr="00F34EA8">
        <w:rPr>
          <w:rFonts w:ascii="Aptos" w:hAnsi="Aptos"/>
        </w:rPr>
        <w:t>he disposal problem</w:t>
      </w:r>
    </w:p>
    <w:p w14:paraId="05AEECC5" w14:textId="77777777" w:rsidR="005F448B" w:rsidRPr="00F34EA8" w:rsidRDefault="00000000">
      <w:pPr>
        <w:pStyle w:val="FirstParagraph"/>
        <w:rPr>
          <w:rFonts w:ascii="Aptos" w:hAnsi="Aptos"/>
        </w:rPr>
      </w:pPr>
      <w:r w:rsidRPr="00F34EA8">
        <w:rPr>
          <w:rFonts w:ascii="Aptos" w:hAnsi="Aptos"/>
        </w:rPr>
        <w:t>Molten salt reactors (MSRs) introduce a new spent-fuel form: the salt itself is the fuel matrix. When a chloride or fluoride salt loop is taken out of service, the salt inventory must be conditioned, packaged, and either stored on site for the medium term or moved into a geological repository. Two features distinguish this waste form from oxide pellets in zircaloy cladding.</w:t>
      </w:r>
    </w:p>
    <w:p w14:paraId="22BE072D" w14:textId="5FF4466F" w:rsidR="005F448B" w:rsidRPr="00F34EA8" w:rsidRDefault="00000000">
      <w:pPr>
        <w:pStyle w:val="BodyText"/>
        <w:rPr>
          <w:rFonts w:ascii="Aptos" w:hAnsi="Aptos"/>
        </w:rPr>
      </w:pPr>
      <w:r w:rsidRPr="00F34EA8">
        <w:rPr>
          <w:rFonts w:ascii="Aptos" w:hAnsi="Aptos"/>
        </w:rPr>
        <w:t xml:space="preserve">The first is that the radiolytic chemistry continues after discharge. </w:t>
      </w:r>
      <w:r w:rsidR="00F34EA8">
        <w:rPr>
          <w:rFonts w:ascii="Aptos" w:hAnsi="Aptos"/>
        </w:rPr>
        <w:t xml:space="preserve">The representation of the radiolytic source term over time is shown in </w:t>
      </w:r>
      <w:r w:rsidR="00F34EA8">
        <w:rPr>
          <w:rFonts w:ascii="Aptos" w:hAnsi="Aptos"/>
        </w:rPr>
        <w:fldChar w:fldCharType="begin"/>
      </w:r>
      <w:r w:rsidR="00F34EA8">
        <w:rPr>
          <w:rFonts w:ascii="Aptos" w:hAnsi="Aptos"/>
        </w:rPr>
        <w:instrText xml:space="preserve"> REF _Ref231917063 \h </w:instrText>
      </w:r>
      <w:r w:rsidR="00F34EA8">
        <w:rPr>
          <w:rFonts w:ascii="Aptos" w:hAnsi="Aptos"/>
        </w:rPr>
      </w:r>
      <w:r w:rsidR="00F34EA8">
        <w:rPr>
          <w:rFonts w:ascii="Aptos" w:hAnsi="Aptos"/>
        </w:rPr>
        <w:fldChar w:fldCharType="separate"/>
      </w:r>
      <w:r w:rsidR="00F34EA8" w:rsidRPr="00F34EA8">
        <w:rPr>
          <w:sz w:val="21"/>
          <w:szCs w:val="21"/>
        </w:rPr>
        <w:t>Figu</w:t>
      </w:r>
      <w:r w:rsidR="00F34EA8" w:rsidRPr="00F34EA8">
        <w:rPr>
          <w:sz w:val="21"/>
          <w:szCs w:val="21"/>
        </w:rPr>
        <w:t>r</w:t>
      </w:r>
      <w:r w:rsidR="00F34EA8" w:rsidRPr="00F34EA8">
        <w:rPr>
          <w:sz w:val="21"/>
          <w:szCs w:val="21"/>
        </w:rPr>
        <w:t xml:space="preserve">e </w:t>
      </w:r>
      <w:r w:rsidR="00F34EA8" w:rsidRPr="00F34EA8">
        <w:rPr>
          <w:noProof/>
          <w:sz w:val="21"/>
          <w:szCs w:val="21"/>
        </w:rPr>
        <w:t>1</w:t>
      </w:r>
      <w:r w:rsidR="00F34EA8">
        <w:rPr>
          <w:rFonts w:ascii="Aptos" w:hAnsi="Aptos"/>
        </w:rPr>
        <w:fldChar w:fldCharType="end"/>
      </w:r>
      <w:r w:rsidR="00F34EA8">
        <w:rPr>
          <w:rFonts w:ascii="Aptos" w:hAnsi="Aptos"/>
        </w:rPr>
        <w:t xml:space="preserve">. </w:t>
      </w:r>
      <w:r w:rsidRPr="00F34EA8">
        <w:rPr>
          <w:rFonts w:ascii="Aptos" w:hAnsi="Aptos"/>
        </w:rPr>
        <w:t xml:space="preserve">The </w:t>
      </w:r>
      <m:oMath>
        <m:r>
          <w:rPr>
            <w:rFonts w:ascii="Cambria Math" w:hAnsi="Cambria Math"/>
          </w:rPr>
          <m:t>β/γ</m:t>
        </m:r>
      </m:oMath>
      <w:r w:rsidRPr="00F34EA8">
        <w:rPr>
          <w:rFonts w:ascii="Aptos" w:hAnsi="Aptos"/>
        </w:rPr>
        <w:t xml:space="preserve"> activity from cesium-137 and strontium-90 deposits energy into the salt for centuries; the </w:t>
      </w:r>
      <m:oMath>
        <m:r>
          <w:rPr>
            <w:rFonts w:ascii="Cambria Math" w:hAnsi="Cambria Math"/>
          </w:rPr>
          <m:t>α</m:t>
        </m:r>
      </m:oMath>
      <w:r w:rsidRPr="00F34EA8">
        <w:rPr>
          <w:rFonts w:ascii="Aptos" w:hAnsi="Aptos"/>
        </w:rPr>
        <w:t xml:space="preserve"> activity from plutonium-239, americium-241, curium-244, and the higher actinides deposits energy into the salt for tens of thousands of years. In a sealed disposal container neither energy source can escape, and the radiolytic radicals it produces</w:t>
      </w:r>
      <w:r w:rsidR="00F34EA8">
        <w:rPr>
          <w:rFonts w:ascii="Aptos" w:hAnsi="Aptos"/>
        </w:rPr>
        <w:t>, such as</w:t>
      </w:r>
      <w:r w:rsidRPr="00F34EA8">
        <w:rPr>
          <w:rFonts w:ascii="Aptos" w:hAnsi="Aptos"/>
        </w:rPr>
        <w:t xml:space="preserve"> solvated electrons, chlorine atoms, fluorine atoms, halogen radical anions</w:t>
      </w:r>
      <w:r w:rsidR="00F34EA8">
        <w:rPr>
          <w:rFonts w:ascii="Aptos" w:hAnsi="Aptos"/>
        </w:rPr>
        <w:t>, etc.,</w:t>
      </w:r>
      <w:r w:rsidRPr="00F34EA8">
        <w:rPr>
          <w:rFonts w:ascii="Aptos" w:hAnsi="Aptos"/>
        </w:rPr>
        <w:t xml:space="preserve"> drive chain-propagation reactions whose end products are molecular </w:t>
      </w:r>
      <m:oMath>
        <m:r>
          <w:rPr>
            <w:rFonts w:ascii="Cambria Math" w:hAnsi="Cambria Math"/>
          </w:rPr>
          <m:t>Cl</m:t>
        </m:r>
        <m:sSub>
          <m:sSubPr>
            <m:ctrlPr>
              <w:rPr>
                <w:rFonts w:ascii="Cambria Math" w:hAnsi="Cambria Math"/>
                <w:i/>
              </w:rPr>
            </m:ctrlPr>
          </m:sSubPr>
          <m:e>
            <m:r>
              <w:rPr>
                <w:rFonts w:ascii="Cambria Math" w:hAnsi="Cambria Math"/>
              </w:rPr>
              <m:t>​</m:t>
            </m:r>
          </m:e>
          <m:sub>
            <m:r>
              <w:rPr>
                <w:rFonts w:ascii="Cambria Math" w:hAnsi="Cambria Math"/>
              </w:rPr>
              <m:t>2</m:t>
            </m:r>
          </m:sub>
        </m:sSub>
      </m:oMath>
      <w:r w:rsidRPr="00F34EA8">
        <w:rPr>
          <w:rFonts w:ascii="Aptos" w:hAnsi="Aptos"/>
        </w:rPr>
        <w:t xml:space="preserve"> or </w:t>
      </w:r>
      <m:oMath>
        <m:r>
          <w:rPr>
            <w:rFonts w:ascii="Cambria Math" w:hAnsi="Cambria Math"/>
          </w:rPr>
          <m:t>F</m:t>
        </m:r>
        <m:sSub>
          <m:sSubPr>
            <m:ctrlPr>
              <w:rPr>
                <w:rFonts w:ascii="Cambria Math" w:hAnsi="Cambria Math"/>
                <w:i/>
              </w:rPr>
            </m:ctrlPr>
          </m:sSubPr>
          <m:e>
            <m:r>
              <w:rPr>
                <w:rFonts w:ascii="Cambria Math" w:hAnsi="Cambria Math"/>
              </w:rPr>
              <m:t>​</m:t>
            </m:r>
          </m:e>
          <m:sub>
            <m:r>
              <w:rPr>
                <w:rFonts w:ascii="Cambria Math" w:hAnsi="Cambria Math"/>
              </w:rPr>
              <m:t>2</m:t>
            </m:r>
          </m:sub>
        </m:sSub>
      </m:oMath>
      <w:r w:rsidRPr="00F34EA8">
        <w:rPr>
          <w:rFonts w:ascii="Aptos" w:hAnsi="Aptos"/>
        </w:rPr>
        <w:t xml:space="preserve"> gas. These gases pressurize the container, oxidize the wall, and in the limiting case can rupture the package.</w:t>
      </w:r>
    </w:p>
    <w:p w14:paraId="6F26195E" w14:textId="5E3232B5" w:rsidR="005F448B" w:rsidRPr="00F34EA8" w:rsidRDefault="00000000">
      <w:pPr>
        <w:pStyle w:val="BodyText"/>
        <w:rPr>
          <w:rFonts w:ascii="Aptos" w:hAnsi="Aptos"/>
        </w:rPr>
      </w:pPr>
      <w:r w:rsidRPr="00F34EA8">
        <w:rPr>
          <w:rFonts w:ascii="Aptos" w:hAnsi="Aptos"/>
        </w:rPr>
        <w:t xml:space="preserve">The second feature is that the U(III)/U(IV) redox buffer, which dominates the active-reactor radiolytic mass balance and keeps the cover-gas </w:t>
      </w:r>
      <m:oMath>
        <m:r>
          <w:rPr>
            <w:rFonts w:ascii="Cambria Math" w:hAnsi="Cambria Math"/>
          </w:rPr>
          <m:t>Cl</m:t>
        </m:r>
        <m:sSub>
          <m:sSubPr>
            <m:ctrlPr>
              <w:rPr>
                <w:rFonts w:ascii="Cambria Math" w:hAnsi="Cambria Math"/>
                <w:i/>
              </w:rPr>
            </m:ctrlPr>
          </m:sSubPr>
          <m:e>
            <m:r>
              <w:rPr>
                <w:rFonts w:ascii="Cambria Math" w:hAnsi="Cambria Math"/>
              </w:rPr>
              <m:t>​</m:t>
            </m:r>
          </m:e>
          <m:sub>
            <m:r>
              <w:rPr>
                <w:rFonts w:ascii="Cambria Math" w:hAnsi="Cambria Math"/>
              </w:rPr>
              <m:t>2</m:t>
            </m:r>
          </m:sub>
        </m:sSub>
      </m:oMath>
      <w:r w:rsidRPr="00F34EA8">
        <w:rPr>
          <w:rFonts w:ascii="Aptos" w:hAnsi="Aptos"/>
        </w:rPr>
        <w:t xml:space="preserve"> inventory at the ppb level during normal operation, is not available during disposal. The buffer is either consumed during operation, deliberately extracted before disposal, or rendered unreactive by solidification. The chain-propagation efficiency </w:t>
      </w:r>
      <m:oMath>
        <m:r>
          <w:rPr>
            <w:rFonts w:ascii="Cambria Math" w:hAnsi="Cambria Math"/>
          </w:rPr>
          <m:t>η</m:t>
        </m:r>
      </m:oMath>
      <w:r w:rsidRPr="00F34EA8">
        <w:rPr>
          <w:rFonts w:ascii="Aptos" w:hAnsi="Aptos"/>
        </w:rPr>
        <w:t xml:space="preserve"> in the disposal regime is therefore set by the residual chemistry of the host salt and the long-lived fission-product / actinide cocktail, not by the engineered U cycle.</w:t>
      </w:r>
    </w:p>
    <w:p w14:paraId="23A82B0E" w14:textId="299F92DC" w:rsidR="005F448B" w:rsidRPr="00F34EA8" w:rsidRDefault="00000000">
      <w:pPr>
        <w:pStyle w:val="BodyText"/>
        <w:rPr>
          <w:rFonts w:ascii="Aptos" w:hAnsi="Aptos"/>
        </w:rPr>
      </w:pPr>
      <w:r w:rsidRPr="00F34EA8">
        <w:rPr>
          <w:rFonts w:ascii="Aptos" w:hAnsi="Aptos"/>
        </w:rPr>
        <w:t xml:space="preserve">A defensible prediction of </w:t>
      </w:r>
      <m:oMath>
        <m:r>
          <w:rPr>
            <w:rFonts w:ascii="Cambria Math" w:hAnsi="Cambria Math"/>
          </w:rPr>
          <m:t>Cl</m:t>
        </m:r>
        <m:sSub>
          <m:sSubPr>
            <m:ctrlPr>
              <w:rPr>
                <w:rFonts w:ascii="Cambria Math" w:hAnsi="Cambria Math"/>
                <w:i/>
              </w:rPr>
            </m:ctrlPr>
          </m:sSubPr>
          <m:e>
            <m:r>
              <w:rPr>
                <w:rFonts w:ascii="Cambria Math" w:hAnsi="Cambria Math"/>
              </w:rPr>
              <m:t>​</m:t>
            </m:r>
          </m:e>
          <m:sub>
            <m:r>
              <w:rPr>
                <w:rFonts w:ascii="Cambria Math" w:hAnsi="Cambria Math"/>
              </w:rPr>
              <m:t>2</m:t>
            </m:r>
          </m:sub>
        </m:sSub>
      </m:oMath>
      <w:r w:rsidRPr="00F34EA8">
        <w:rPr>
          <w:rFonts w:ascii="Aptos" w:hAnsi="Aptos"/>
        </w:rPr>
        <w:t xml:space="preserve"> or </w:t>
      </w:r>
      <m:oMath>
        <m:r>
          <w:rPr>
            <w:rFonts w:ascii="Cambria Math" w:hAnsi="Cambria Math"/>
          </w:rPr>
          <m:t>F</m:t>
        </m:r>
        <m:sSub>
          <m:sSubPr>
            <m:ctrlPr>
              <w:rPr>
                <w:rFonts w:ascii="Cambria Math" w:hAnsi="Cambria Math"/>
                <w:i/>
              </w:rPr>
            </m:ctrlPr>
          </m:sSubPr>
          <m:e>
            <m:r>
              <w:rPr>
                <w:rFonts w:ascii="Cambria Math" w:hAnsi="Cambria Math"/>
              </w:rPr>
              <m:t>​</m:t>
            </m:r>
          </m:e>
          <m:sub>
            <m:r>
              <w:rPr>
                <w:rFonts w:ascii="Cambria Math" w:hAnsi="Cambria Math"/>
              </w:rPr>
              <m:t>2</m:t>
            </m:r>
          </m:sub>
        </m:sSub>
      </m:oMath>
      <w:r w:rsidRPr="00F34EA8">
        <w:rPr>
          <w:rFonts w:ascii="Aptos" w:hAnsi="Aptos"/>
        </w:rPr>
        <w:t xml:space="preserve"> inventory in a sealed disposal container, as a function of time after discharge, salt composition, container temperature, and accumulated dose, is the central scientific question this summary addresses. The present work is a transfer of the calibrated radiolysis framework developed for active-reactor predictions into the disposal regime.</w:t>
      </w:r>
    </w:p>
    <w:p w14:paraId="05886DF7" w14:textId="77777777" w:rsidR="005F448B" w:rsidRPr="00F34EA8" w:rsidRDefault="00000000">
      <w:pPr>
        <w:pStyle w:val="CaptionedFigure"/>
        <w:rPr>
          <w:rFonts w:ascii="Aptos" w:hAnsi="Aptos"/>
        </w:rPr>
      </w:pPr>
      <w:bookmarkStart w:id="2" w:name="fig:dose"/>
      <w:r w:rsidRPr="00F34EA8">
        <w:rPr>
          <w:rFonts w:ascii="Aptos" w:hAnsi="Aptos"/>
          <w:noProof/>
        </w:rPr>
        <w:lastRenderedPageBreak/>
        <w:drawing>
          <wp:inline distT="0" distB="0" distL="0" distR="0" wp14:anchorId="5579E17C" wp14:editId="3FCC3301">
            <wp:extent cx="5334000" cy="2952264"/>
            <wp:effectExtent l="0" t="0" r="0" b="0"/>
            <wp:docPr id="10" name="Picture" descr="Specific dose rate as a function of time after discharge from a representative MSR fuel salt. The β/γ contribution follows the Cs-137/Sr-90 decay; the α contribution is dominated by Cm-244 in the first decades and by Am-241 ingrowth and Pu-239 longer-lived activity thereafter. The cross-over near ~150 years marks the transition from γ-dominant to α-dominant radiolysis chemistry — a transition the current pulse-radiolysis literature does not cover."/>
            <wp:cNvGraphicFramePr/>
            <a:graphic xmlns:a="http://schemas.openxmlformats.org/drawingml/2006/main">
              <a:graphicData uri="http://schemas.openxmlformats.org/drawingml/2006/picture">
                <pic:pic xmlns:pic="http://schemas.openxmlformats.org/drawingml/2006/picture">
                  <pic:nvPicPr>
                    <pic:cNvPr id="11" name="Picture" descr="figures/fig_disposal_dose_trajectory.png"/>
                    <pic:cNvPicPr>
                      <a:picLocks noChangeAspect="1" noChangeArrowheads="1"/>
                    </pic:cNvPicPr>
                  </pic:nvPicPr>
                  <pic:blipFill>
                    <a:blip r:embed="rId6"/>
                    <a:stretch>
                      <a:fillRect/>
                    </a:stretch>
                  </pic:blipFill>
                  <pic:spPr bwMode="auto">
                    <a:xfrm>
                      <a:off x="0" y="0"/>
                      <a:ext cx="5334000" cy="2952264"/>
                    </a:xfrm>
                    <a:prstGeom prst="rect">
                      <a:avLst/>
                    </a:prstGeom>
                    <a:noFill/>
                    <a:ln w="9525">
                      <a:noFill/>
                      <a:headEnd/>
                      <a:tailEnd/>
                    </a:ln>
                  </pic:spPr>
                </pic:pic>
              </a:graphicData>
            </a:graphic>
          </wp:inline>
        </w:drawing>
      </w:r>
    </w:p>
    <w:p w14:paraId="5DEF40D8" w14:textId="5B000AA6" w:rsidR="005F448B" w:rsidRPr="00F34EA8" w:rsidRDefault="00F34EA8" w:rsidP="00F34EA8">
      <w:pPr>
        <w:pStyle w:val="Caption"/>
        <w:jc w:val="center"/>
        <w:rPr>
          <w:rFonts w:ascii="Aptos" w:hAnsi="Aptos"/>
          <w:sz w:val="21"/>
          <w:szCs w:val="21"/>
        </w:rPr>
      </w:pPr>
      <w:bookmarkStart w:id="3" w:name="_Ref231917063"/>
      <w:r w:rsidRPr="00F34EA8">
        <w:rPr>
          <w:sz w:val="21"/>
          <w:szCs w:val="21"/>
        </w:rPr>
        <w:t xml:space="preserve">Figure </w:t>
      </w:r>
      <w:r w:rsidRPr="00F34EA8">
        <w:rPr>
          <w:sz w:val="21"/>
          <w:szCs w:val="21"/>
        </w:rPr>
        <w:fldChar w:fldCharType="begin"/>
      </w:r>
      <w:r w:rsidRPr="00F34EA8">
        <w:rPr>
          <w:sz w:val="21"/>
          <w:szCs w:val="21"/>
        </w:rPr>
        <w:instrText xml:space="preserve"> SEQ Figure \* ARABIC </w:instrText>
      </w:r>
      <w:r w:rsidRPr="00F34EA8">
        <w:rPr>
          <w:sz w:val="21"/>
          <w:szCs w:val="21"/>
        </w:rPr>
        <w:fldChar w:fldCharType="separate"/>
      </w:r>
      <w:r>
        <w:rPr>
          <w:noProof/>
          <w:sz w:val="21"/>
          <w:szCs w:val="21"/>
        </w:rPr>
        <w:t>1</w:t>
      </w:r>
      <w:r w:rsidRPr="00F34EA8">
        <w:rPr>
          <w:sz w:val="21"/>
          <w:szCs w:val="21"/>
        </w:rPr>
        <w:fldChar w:fldCharType="end"/>
      </w:r>
      <w:bookmarkEnd w:id="3"/>
      <w:r w:rsidRPr="00F34EA8">
        <w:rPr>
          <w:sz w:val="21"/>
          <w:szCs w:val="21"/>
        </w:rPr>
        <w:t xml:space="preserve">. </w:t>
      </w:r>
      <w:r w:rsidR="00000000" w:rsidRPr="00F34EA8">
        <w:rPr>
          <w:rFonts w:ascii="Aptos" w:hAnsi="Aptos"/>
          <w:sz w:val="21"/>
          <w:szCs w:val="21"/>
        </w:rPr>
        <w:t xml:space="preserve">Specific dose rate as a function of time after discharge from a representative MSR fuel salt. The </w:t>
      </w:r>
      <m:oMath>
        <m:r>
          <w:rPr>
            <w:rFonts w:ascii="Cambria Math" w:hAnsi="Cambria Math"/>
            <w:sz w:val="21"/>
            <w:szCs w:val="21"/>
          </w:rPr>
          <m:t>β/γ</m:t>
        </m:r>
      </m:oMath>
      <w:r w:rsidR="00000000" w:rsidRPr="00F34EA8">
        <w:rPr>
          <w:rFonts w:ascii="Aptos" w:hAnsi="Aptos"/>
          <w:sz w:val="21"/>
          <w:szCs w:val="21"/>
        </w:rPr>
        <w:t xml:space="preserve"> contribution follows the Cs-137/Sr-90 decay; the </w:t>
      </w:r>
      <m:oMath>
        <m:r>
          <w:rPr>
            <w:rFonts w:ascii="Cambria Math" w:hAnsi="Cambria Math"/>
            <w:sz w:val="21"/>
            <w:szCs w:val="21"/>
          </w:rPr>
          <m:t>α</m:t>
        </m:r>
      </m:oMath>
      <w:r w:rsidR="00000000" w:rsidRPr="00F34EA8">
        <w:rPr>
          <w:rFonts w:ascii="Aptos" w:hAnsi="Aptos"/>
          <w:sz w:val="21"/>
          <w:szCs w:val="21"/>
        </w:rPr>
        <w:t xml:space="preserve"> contribution is dominated by Cm-244 in the first decades and by Am-241 ingrowth and Pu-239 longer-lived activity thereafter. The cross-over near ~150 years marks the transition from </w:t>
      </w:r>
      <m:oMath>
        <m:r>
          <w:rPr>
            <w:rFonts w:ascii="Cambria Math" w:hAnsi="Cambria Math"/>
            <w:sz w:val="21"/>
            <w:szCs w:val="21"/>
          </w:rPr>
          <m:t>γ</m:t>
        </m:r>
      </m:oMath>
      <w:r w:rsidR="00000000" w:rsidRPr="00F34EA8">
        <w:rPr>
          <w:rFonts w:ascii="Aptos" w:hAnsi="Aptos"/>
          <w:sz w:val="21"/>
          <w:szCs w:val="21"/>
        </w:rPr>
        <w:t xml:space="preserve">-dominant to </w:t>
      </w:r>
      <m:oMath>
        <m:r>
          <w:rPr>
            <w:rFonts w:ascii="Cambria Math" w:hAnsi="Cambria Math"/>
            <w:sz w:val="21"/>
            <w:szCs w:val="21"/>
          </w:rPr>
          <m:t>α</m:t>
        </m:r>
      </m:oMath>
      <w:r w:rsidR="00000000" w:rsidRPr="00F34EA8">
        <w:rPr>
          <w:rFonts w:ascii="Aptos" w:hAnsi="Aptos"/>
          <w:sz w:val="21"/>
          <w:szCs w:val="21"/>
        </w:rPr>
        <w:t>-dominant radiolysis chemistry</w:t>
      </w:r>
      <w:r>
        <w:rPr>
          <w:rFonts w:ascii="Aptos" w:hAnsi="Aptos"/>
          <w:sz w:val="21"/>
          <w:szCs w:val="21"/>
        </w:rPr>
        <w:t>. This is</w:t>
      </w:r>
      <w:r w:rsidR="00000000" w:rsidRPr="00F34EA8">
        <w:rPr>
          <w:rFonts w:ascii="Aptos" w:hAnsi="Aptos"/>
          <w:sz w:val="21"/>
          <w:szCs w:val="21"/>
        </w:rPr>
        <w:t xml:space="preserve"> a transition the current pulse-radiolysis literature does not cover.</w:t>
      </w:r>
    </w:p>
    <w:p w14:paraId="3E978D70" w14:textId="31478919" w:rsidR="005F448B" w:rsidRPr="00F34EA8" w:rsidRDefault="00000000">
      <w:pPr>
        <w:pStyle w:val="Heading2"/>
        <w:rPr>
          <w:rFonts w:ascii="Aptos" w:hAnsi="Aptos"/>
        </w:rPr>
      </w:pPr>
      <w:bookmarkStart w:id="4" w:name="X83113726ebc501b291d7a309320f20ed16b6a63"/>
      <w:bookmarkEnd w:id="1"/>
      <w:bookmarkEnd w:id="2"/>
      <w:r w:rsidRPr="00F34EA8">
        <w:rPr>
          <w:rFonts w:ascii="Aptos" w:hAnsi="Aptos"/>
        </w:rPr>
        <w:t xml:space="preserve">2. Approach: </w:t>
      </w:r>
      <w:r w:rsidR="00F34EA8" w:rsidRPr="00F34EA8">
        <w:rPr>
          <w:rFonts w:ascii="Aptos" w:hAnsi="Aptos"/>
        </w:rPr>
        <w:t>hierarchical Bayesian mechanism-adequacy estimation</w:t>
      </w:r>
      <w:r w:rsidR="00F34EA8" w:rsidRPr="00F34EA8">
        <w:rPr>
          <w:rFonts w:ascii="Aptos" w:hAnsi="Aptos"/>
        </w:rPr>
        <w:t xml:space="preserve"> </w:t>
      </w:r>
      <w:r w:rsidR="00F34EA8">
        <w:rPr>
          <w:rFonts w:ascii="Aptos" w:hAnsi="Aptos"/>
        </w:rPr>
        <w:t>(</w:t>
      </w:r>
      <w:r w:rsidRPr="00F34EA8">
        <w:rPr>
          <w:rFonts w:ascii="Aptos" w:hAnsi="Aptos"/>
        </w:rPr>
        <w:t>HBMAE</w:t>
      </w:r>
      <w:r w:rsidR="00F34EA8">
        <w:rPr>
          <w:rFonts w:ascii="Aptos" w:hAnsi="Aptos"/>
        </w:rPr>
        <w:t>)</w:t>
      </w:r>
      <w:r w:rsidRPr="00F34EA8">
        <w:rPr>
          <w:rFonts w:ascii="Aptos" w:hAnsi="Aptos"/>
        </w:rPr>
        <w:t>-calibrated kernel extrapolated to disposal conditions</w:t>
      </w:r>
    </w:p>
    <w:p w14:paraId="5719DBE6" w14:textId="08F09B42" w:rsidR="005F448B" w:rsidRPr="00F34EA8" w:rsidRDefault="00000000">
      <w:pPr>
        <w:pStyle w:val="FirstParagraph"/>
        <w:rPr>
          <w:rFonts w:ascii="Aptos" w:hAnsi="Aptos"/>
        </w:rPr>
      </w:pPr>
      <w:r w:rsidRPr="00F34EA8">
        <w:rPr>
          <w:rFonts w:ascii="Aptos" w:hAnsi="Aptos"/>
        </w:rPr>
        <w:t xml:space="preserve">The framework underlying the predictions is </w:t>
      </w:r>
      <w:r w:rsidR="00F34EA8">
        <w:rPr>
          <w:rFonts w:ascii="Aptos" w:hAnsi="Aptos"/>
        </w:rPr>
        <w:t xml:space="preserve">the </w:t>
      </w:r>
      <w:r w:rsidRPr="00F34EA8">
        <w:rPr>
          <w:rFonts w:ascii="Aptos" w:hAnsi="Aptos"/>
        </w:rPr>
        <w:t xml:space="preserve">HBMAE calibration of the chloride and fluoride radiolysis kernels against the digitized pulse-radiolysis and chronic-irradiation literature. The calibrated kernels reproduce the published Arrhenius parameters of the dominant </w:t>
      </w:r>
      <m:oMath>
        <m:r>
          <w:rPr>
            <w:rFonts w:ascii="Cambria Math" w:hAnsi="Cambria Math"/>
          </w:rPr>
          <m:t>Cr</m:t>
        </m:r>
        <m:sSup>
          <m:sSupPr>
            <m:ctrlPr>
              <w:rPr>
                <w:rFonts w:ascii="Cambria Math" w:hAnsi="Cambria Math"/>
                <w:i/>
              </w:rPr>
            </m:ctrlPr>
          </m:sSupPr>
          <m:e>
            <m:r>
              <w:rPr>
                <w:rFonts w:ascii="Cambria Math" w:hAnsi="Cambria Math"/>
              </w:rPr>
              <m:t>​</m:t>
            </m:r>
          </m:e>
          <m:sup>
            <m:r>
              <w:rPr>
                <w:rFonts w:ascii="Cambria Math" w:hAnsi="Cambria Math"/>
              </w:rPr>
              <m:t>3+</m:t>
            </m:r>
          </m:sup>
        </m:sSup>
        <m:r>
          <w:rPr>
            <w:rFonts w:ascii="Cambria Math" w:hAnsi="Cambria Math"/>
          </w:rPr>
          <m:t>, Zn</m:t>
        </m:r>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 Nd</m:t>
        </m:r>
        <m:sSup>
          <m:sSupPr>
            <m:ctrlPr>
              <w:rPr>
                <w:rFonts w:ascii="Cambria Math" w:hAnsi="Cambria Math"/>
                <w:i/>
              </w:rPr>
            </m:ctrlPr>
          </m:sSupPr>
          <m:e>
            <m:r>
              <w:rPr>
                <w:rFonts w:ascii="Cambria Math" w:hAnsi="Cambria Math"/>
              </w:rPr>
              <m:t>​</m:t>
            </m:r>
          </m:e>
          <m:sup>
            <m:r>
              <w:rPr>
                <w:rFonts w:ascii="Cambria Math" w:hAnsi="Cambria Math"/>
              </w:rPr>
              <m:t>3+</m:t>
            </m:r>
          </m:sup>
        </m:sSup>
        <m:r>
          <w:rPr>
            <w:rFonts w:ascii="Cambria Math" w:hAnsi="Cambria Math"/>
          </w:rPr>
          <m:t>, Cf</m:t>
        </m:r>
        <m:sSup>
          <m:sSupPr>
            <m:ctrlPr>
              <w:rPr>
                <w:rFonts w:ascii="Cambria Math" w:hAnsi="Cambria Math"/>
                <w:i/>
              </w:rPr>
            </m:ctrlPr>
          </m:sSupPr>
          <m:e>
            <m:r>
              <w:rPr>
                <w:rFonts w:ascii="Cambria Math" w:hAnsi="Cambria Math"/>
              </w:rPr>
              <m:t>​</m:t>
            </m:r>
          </m:e>
          <m:sup>
            <m:r>
              <w:rPr>
                <w:rFonts w:ascii="Cambria Math" w:hAnsi="Cambria Math"/>
              </w:rPr>
              <m:t>3+</m:t>
            </m:r>
          </m:sup>
        </m:sSup>
      </m:oMath>
      <w:r w:rsidRPr="00F34EA8">
        <w:rPr>
          <w:rFonts w:ascii="Aptos" w:hAnsi="Aptos"/>
        </w:rPr>
        <w:t xml:space="preserve"> reduction reactions and capture the cross-laboratory systematic offset of the Pikaev 1982 Soviet measurements relative to the modern Brookhaven LEAF data.</w:t>
      </w:r>
    </w:p>
    <w:p w14:paraId="1615FB12" w14:textId="5E0DE239" w:rsidR="005F448B" w:rsidRPr="00F34EA8" w:rsidRDefault="00000000">
      <w:pPr>
        <w:pStyle w:val="BodyText"/>
        <w:rPr>
          <w:rFonts w:ascii="Aptos" w:hAnsi="Aptos"/>
        </w:rPr>
      </w:pPr>
      <w:r w:rsidRPr="00F34EA8">
        <w:rPr>
          <w:rFonts w:ascii="Aptos" w:hAnsi="Aptos"/>
        </w:rPr>
        <w:t xml:space="preserve">The extrapolation is not trivial. Pulse-radiolysis experiments are conducted at salt-loop temperatures (400-600 </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rsidRPr="00F34EA8">
        <w:rPr>
          <w:rFonts w:ascii="Aptos" w:hAnsi="Aptos"/>
        </w:rPr>
        <w:t xml:space="preserve">C) and at dose rates on the order of 1 kGy per pulse (instantaneous) or 1-10 kGy/h (chronic gamma irradiation). Sealed disposal containers operate at 100-300 </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rsidRPr="00F34EA8">
        <w:rPr>
          <w:rFonts w:ascii="Aptos" w:hAnsi="Aptos"/>
        </w:rPr>
        <w:t xml:space="preserve">C and, after the first decade, at integrated dose rates that decline through 1 </w:t>
      </w:r>
      <m:oMath>
        <m:r>
          <w:rPr>
            <w:rFonts w:ascii="Cambria Math" w:hAnsi="Cambria Math"/>
          </w:rPr>
          <m:t>μGy/h</m:t>
        </m:r>
      </m:oMath>
      <w:r w:rsidRPr="00F34EA8">
        <w:rPr>
          <w:rFonts w:ascii="Aptos" w:hAnsi="Aptos"/>
        </w:rPr>
        <w:t xml:space="preserve"> and below. The kernel must therefore extrapolate over four to five decades in dose rate, over more than 300 </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rsidRPr="00F34EA8">
        <w:rPr>
          <w:rFonts w:ascii="Aptos" w:hAnsi="Aptos"/>
        </w:rPr>
        <w:t xml:space="preserve">C in temperature, and from a </w:t>
      </w:r>
      <m:oMath>
        <m:r>
          <w:rPr>
            <w:rFonts w:ascii="Cambria Math" w:hAnsi="Cambria Math"/>
          </w:rPr>
          <m:t>γ</m:t>
        </m:r>
      </m:oMath>
      <w:r w:rsidRPr="00F34EA8">
        <w:rPr>
          <w:rFonts w:ascii="Aptos" w:hAnsi="Aptos"/>
        </w:rPr>
        <w:t xml:space="preserve">-dominant to an </w:t>
      </w:r>
      <m:oMath>
        <m:r>
          <w:rPr>
            <w:rFonts w:ascii="Cambria Math" w:hAnsi="Cambria Math"/>
          </w:rPr>
          <m:t>α</m:t>
        </m:r>
      </m:oMath>
      <w:r w:rsidRPr="00F34EA8">
        <w:rPr>
          <w:rFonts w:ascii="Aptos" w:hAnsi="Aptos"/>
        </w:rPr>
        <w:t xml:space="preserve">-dominant energy-deposition regime. The first two extrapolations are amenable to the Arrhenius and dose-rate scaling already encoded in the kernel; the third is not, because the secondary-electron / radical inventory produced by α tracks differs from the inventory produced by </w:t>
      </w:r>
      <m:oMath>
        <m:r>
          <w:rPr>
            <w:rFonts w:ascii="Cambria Math" w:hAnsi="Cambria Math"/>
          </w:rPr>
          <m:t>γ</m:t>
        </m:r>
      </m:oMath>
      <w:r w:rsidRPr="00F34EA8">
        <w:rPr>
          <w:rFonts w:ascii="Aptos" w:hAnsi="Aptos"/>
        </w:rPr>
        <w:t xml:space="preserve"> tracks through linear-energy-transfer (LET) effects.</w:t>
      </w:r>
    </w:p>
    <w:p w14:paraId="644DA652" w14:textId="7A73C479" w:rsidR="005F448B" w:rsidRPr="00F34EA8" w:rsidRDefault="00F34EA8">
      <w:pPr>
        <w:pStyle w:val="BodyText"/>
        <w:rPr>
          <w:rFonts w:ascii="Aptos" w:hAnsi="Aptos"/>
        </w:rPr>
      </w:pPr>
      <w:r>
        <w:rPr>
          <w:rFonts w:ascii="Aptos" w:hAnsi="Aptos"/>
        </w:rPr>
        <w:lastRenderedPageBreak/>
        <w:fldChar w:fldCharType="begin"/>
      </w:r>
      <w:r>
        <w:rPr>
          <w:rFonts w:ascii="Aptos" w:hAnsi="Aptos"/>
        </w:rPr>
        <w:instrText xml:space="preserve"> REF _Ref231917290 \h </w:instrText>
      </w:r>
      <w:r>
        <w:rPr>
          <w:rFonts w:ascii="Aptos" w:hAnsi="Aptos"/>
        </w:rPr>
      </w:r>
      <w:r>
        <w:rPr>
          <w:rFonts w:ascii="Aptos" w:hAnsi="Aptos"/>
        </w:rPr>
        <w:fldChar w:fldCharType="separate"/>
      </w:r>
      <w:r w:rsidRPr="00F34EA8">
        <w:rPr>
          <w:sz w:val="21"/>
          <w:szCs w:val="21"/>
        </w:rPr>
        <w:t xml:space="preserve">Figure </w:t>
      </w:r>
      <w:r w:rsidRPr="00F34EA8">
        <w:rPr>
          <w:noProof/>
          <w:sz w:val="21"/>
          <w:szCs w:val="21"/>
        </w:rPr>
        <w:t>2</w:t>
      </w:r>
      <w:r>
        <w:rPr>
          <w:rFonts w:ascii="Aptos" w:hAnsi="Aptos"/>
        </w:rPr>
        <w:fldChar w:fldCharType="end"/>
      </w:r>
      <w:r>
        <w:rPr>
          <w:rFonts w:ascii="Aptos" w:hAnsi="Aptos"/>
        </w:rPr>
        <w:t xml:space="preserve"> </w:t>
      </w:r>
      <w:r w:rsidR="00000000" w:rsidRPr="00F34EA8">
        <w:rPr>
          <w:rFonts w:ascii="Aptos" w:hAnsi="Aptos"/>
        </w:rPr>
        <w:t>situates the operational, laboratory, and disposal regimes on a (temperature, dose-rate) plane, with the extrapolation gap explicit. The figure makes precise the calibration question: which posterior parameters are constrained by the existing data within the operational box, and which require LET-corrected α-radiolysis data or low-temperature low-dose-rate confirmation experiments to be transferable to disposal conditions.</w:t>
      </w:r>
    </w:p>
    <w:p w14:paraId="11F28E41" w14:textId="77777777" w:rsidR="005F448B" w:rsidRPr="00F34EA8" w:rsidRDefault="00000000">
      <w:pPr>
        <w:pStyle w:val="CaptionedFigure"/>
        <w:rPr>
          <w:rFonts w:ascii="Aptos" w:hAnsi="Aptos"/>
        </w:rPr>
      </w:pPr>
      <w:bookmarkStart w:id="5" w:name="fig:regime"/>
      <w:r w:rsidRPr="00F34EA8">
        <w:rPr>
          <w:rFonts w:ascii="Aptos" w:hAnsi="Aptos"/>
          <w:noProof/>
        </w:rPr>
        <w:drawing>
          <wp:inline distT="0" distB="0" distL="0" distR="0" wp14:anchorId="17CD88DA" wp14:editId="4307E4B8">
            <wp:extent cx="5334000" cy="3076478"/>
            <wp:effectExtent l="0" t="0" r="0" b="0"/>
            <wp:docPr id="15" name="Picture" descr="Operational, laboratory, and disposal radiolysis regimes on a (temperature, dose-rate) plane. The blue contour is a schematic of the calibration-coverage posterior under the HBMAE framework: the central region (high dose rate, T \sim 700\,\mathrm{K}) is anchored by Iwamatsu Cr/Zn data, with the Pikaev cross-laboratory anchor at higher temperatures. The operational MSR regime sits inside the calibration envelope; the disposal regime (200 °C, \sim 1 \muGy/h after one millennium) is four decades below the experimental floor in dose rate and α-dominant rather than γ-dominant. The arrow indicates the extrapolation that the calibrated kernel must cover for a defensible disposal prediction."/>
            <wp:cNvGraphicFramePr/>
            <a:graphic xmlns:a="http://schemas.openxmlformats.org/drawingml/2006/main">
              <a:graphicData uri="http://schemas.openxmlformats.org/drawingml/2006/picture">
                <pic:pic xmlns:pic="http://schemas.openxmlformats.org/drawingml/2006/picture">
                  <pic:nvPicPr>
                    <pic:cNvPr id="16" name="Picture" descr="figures/fig_disposal_regime_map.png"/>
                    <pic:cNvPicPr>
                      <a:picLocks noChangeAspect="1" noChangeArrowheads="1"/>
                    </pic:cNvPicPr>
                  </pic:nvPicPr>
                  <pic:blipFill>
                    <a:blip r:embed="rId7"/>
                    <a:stretch>
                      <a:fillRect/>
                    </a:stretch>
                  </pic:blipFill>
                  <pic:spPr bwMode="auto">
                    <a:xfrm>
                      <a:off x="0" y="0"/>
                      <a:ext cx="5334000" cy="3076478"/>
                    </a:xfrm>
                    <a:prstGeom prst="rect">
                      <a:avLst/>
                    </a:prstGeom>
                    <a:noFill/>
                    <a:ln w="9525">
                      <a:noFill/>
                      <a:headEnd/>
                      <a:tailEnd/>
                    </a:ln>
                  </pic:spPr>
                </pic:pic>
              </a:graphicData>
            </a:graphic>
          </wp:inline>
        </w:drawing>
      </w:r>
    </w:p>
    <w:p w14:paraId="21480DC3" w14:textId="0754A6B0" w:rsidR="005F448B" w:rsidRPr="00F34EA8" w:rsidRDefault="00F34EA8" w:rsidP="00F34EA8">
      <w:pPr>
        <w:pStyle w:val="Caption"/>
        <w:jc w:val="center"/>
        <w:rPr>
          <w:rFonts w:ascii="Aptos" w:hAnsi="Aptos"/>
          <w:sz w:val="21"/>
          <w:szCs w:val="21"/>
        </w:rPr>
      </w:pPr>
      <w:bookmarkStart w:id="6" w:name="_Ref231917290"/>
      <w:r w:rsidRPr="00F34EA8">
        <w:rPr>
          <w:sz w:val="21"/>
          <w:szCs w:val="21"/>
        </w:rPr>
        <w:t xml:space="preserve">Figure </w:t>
      </w:r>
      <w:r w:rsidRPr="00F34EA8">
        <w:rPr>
          <w:sz w:val="21"/>
          <w:szCs w:val="21"/>
        </w:rPr>
        <w:fldChar w:fldCharType="begin"/>
      </w:r>
      <w:r w:rsidRPr="00F34EA8">
        <w:rPr>
          <w:sz w:val="21"/>
          <w:szCs w:val="21"/>
        </w:rPr>
        <w:instrText xml:space="preserve"> SEQ Figure \* ARABIC </w:instrText>
      </w:r>
      <w:r w:rsidRPr="00F34EA8">
        <w:rPr>
          <w:sz w:val="21"/>
          <w:szCs w:val="21"/>
        </w:rPr>
        <w:fldChar w:fldCharType="separate"/>
      </w:r>
      <w:r>
        <w:rPr>
          <w:noProof/>
          <w:sz w:val="21"/>
          <w:szCs w:val="21"/>
        </w:rPr>
        <w:t>2</w:t>
      </w:r>
      <w:r w:rsidRPr="00F34EA8">
        <w:rPr>
          <w:sz w:val="21"/>
          <w:szCs w:val="21"/>
        </w:rPr>
        <w:fldChar w:fldCharType="end"/>
      </w:r>
      <w:bookmarkEnd w:id="6"/>
      <w:r w:rsidRPr="00F34EA8">
        <w:rPr>
          <w:sz w:val="21"/>
          <w:szCs w:val="21"/>
        </w:rPr>
        <w:t xml:space="preserve">. </w:t>
      </w:r>
      <w:r w:rsidR="00000000" w:rsidRPr="00F34EA8">
        <w:rPr>
          <w:rFonts w:ascii="Aptos" w:hAnsi="Aptos"/>
          <w:sz w:val="21"/>
          <w:szCs w:val="21"/>
        </w:rPr>
        <w:t xml:space="preserve">Operational, laboratory, and disposal radiolysis regimes on a (temperature, dose-rate) plane. The blue contour is a schematic of the calibration-coverage posterior under the HBMAE framework: the central region (high dose rate, </w:t>
      </w:r>
      <m:oMath>
        <m:r>
          <w:rPr>
            <w:rFonts w:ascii="Cambria Math" w:hAnsi="Cambria Math"/>
            <w:sz w:val="21"/>
            <w:szCs w:val="21"/>
          </w:rPr>
          <m:t>T∼700 K</m:t>
        </m:r>
      </m:oMath>
      <w:r w:rsidR="00000000" w:rsidRPr="00F34EA8">
        <w:rPr>
          <w:rFonts w:ascii="Aptos" w:hAnsi="Aptos"/>
          <w:sz w:val="21"/>
          <w:szCs w:val="21"/>
        </w:rPr>
        <w:t xml:space="preserve">) is anchored by Iwamatsu Cr/Zn data, with the Pikaev cross-laboratory anchor at higher temperatures. The operational MSR regime sits inside the calibration envelope; the disposal regime (200 °C, </w:t>
      </w:r>
      <m:oMath>
        <m:r>
          <w:rPr>
            <w:rFonts w:ascii="Cambria Math" w:hAnsi="Cambria Math"/>
            <w:sz w:val="21"/>
            <w:szCs w:val="21"/>
          </w:rPr>
          <m:t>∼1</m:t>
        </m:r>
      </m:oMath>
      <w:r w:rsidR="00000000" w:rsidRPr="00F34EA8">
        <w:rPr>
          <w:rFonts w:ascii="Aptos" w:hAnsi="Aptos"/>
          <w:sz w:val="21"/>
          <w:szCs w:val="21"/>
        </w:rPr>
        <w:t xml:space="preserve"> </w:t>
      </w:r>
      <m:oMath>
        <m:r>
          <w:rPr>
            <w:rFonts w:ascii="Cambria Math" w:hAnsi="Cambria Math"/>
            <w:sz w:val="21"/>
            <w:szCs w:val="21"/>
          </w:rPr>
          <m:t>μ</m:t>
        </m:r>
      </m:oMath>
      <w:r w:rsidR="00000000" w:rsidRPr="00F34EA8">
        <w:rPr>
          <w:rFonts w:ascii="Aptos" w:hAnsi="Aptos"/>
          <w:sz w:val="21"/>
          <w:szCs w:val="21"/>
        </w:rPr>
        <w:t>Gy/h after one millennium) is four decades below the experimental floor in dose rate and α-dominant rather than γ-dominant. The arrow indicates the extrapolation that the calibrated kernel must cover for a defensible disposal prediction.</w:t>
      </w:r>
    </w:p>
    <w:bookmarkEnd w:id="5"/>
    <w:p w14:paraId="6444A384" w14:textId="77777777" w:rsidR="005F448B" w:rsidRPr="00F34EA8" w:rsidRDefault="00000000">
      <w:pPr>
        <w:pStyle w:val="BodyText"/>
        <w:rPr>
          <w:rFonts w:ascii="Aptos" w:hAnsi="Aptos"/>
        </w:rPr>
      </w:pPr>
      <w:r w:rsidRPr="00F34EA8">
        <w:rPr>
          <w:rFonts w:ascii="Aptos" w:hAnsi="Aptos"/>
        </w:rPr>
        <w:t>The Bayesian framework propagates this extrapolation explicitly. Each posterior sample on the chloride or fluoride Arrhenius pair produces a corresponding sample of the disposal-regime gas-generation rate; the predictive band quoted below is the 5–95th percentile of that ensemble, not a single nominal trajectory.</w:t>
      </w:r>
    </w:p>
    <w:p w14:paraId="3841E934" w14:textId="77777777" w:rsidR="005F448B" w:rsidRPr="00F34EA8" w:rsidRDefault="00000000">
      <w:pPr>
        <w:pStyle w:val="Heading2"/>
        <w:rPr>
          <w:rFonts w:ascii="Aptos" w:hAnsi="Aptos"/>
        </w:rPr>
      </w:pPr>
      <w:bookmarkStart w:id="7" w:name="findings"/>
      <w:bookmarkEnd w:id="4"/>
      <w:r w:rsidRPr="00F34EA8">
        <w:rPr>
          <w:rFonts w:ascii="Aptos" w:hAnsi="Aptos"/>
        </w:rPr>
        <w:t>3. Findings</w:t>
      </w:r>
    </w:p>
    <w:p w14:paraId="539C3918" w14:textId="1AB7E33C" w:rsidR="005F448B" w:rsidRPr="00F34EA8" w:rsidRDefault="00000000">
      <w:pPr>
        <w:pStyle w:val="FirstParagraph"/>
        <w:rPr>
          <w:rFonts w:ascii="Aptos" w:hAnsi="Aptos"/>
        </w:rPr>
      </w:pPr>
      <w:r w:rsidRPr="00F34EA8">
        <w:rPr>
          <w:rFonts w:ascii="Aptos" w:hAnsi="Aptos"/>
        </w:rPr>
        <w:t xml:space="preserve">Two illustrative cases are presented in </w:t>
      </w:r>
      <w:r w:rsidR="00F34EA8">
        <w:rPr>
          <w:rFonts w:ascii="Aptos" w:hAnsi="Aptos"/>
        </w:rPr>
        <w:fldChar w:fldCharType="begin"/>
      </w:r>
      <w:r w:rsidR="00F34EA8">
        <w:rPr>
          <w:rFonts w:ascii="Aptos" w:hAnsi="Aptos"/>
        </w:rPr>
        <w:instrText xml:space="preserve"> REF _Ref231917326 \h </w:instrText>
      </w:r>
      <w:r w:rsidR="00F34EA8">
        <w:rPr>
          <w:rFonts w:ascii="Aptos" w:hAnsi="Aptos"/>
        </w:rPr>
      </w:r>
      <w:r w:rsidR="00F34EA8">
        <w:rPr>
          <w:rFonts w:ascii="Aptos" w:hAnsi="Aptos"/>
        </w:rPr>
        <w:fldChar w:fldCharType="separate"/>
      </w:r>
      <w:r w:rsidR="00F34EA8">
        <w:t xml:space="preserve">Figure </w:t>
      </w:r>
      <w:r w:rsidR="00F34EA8">
        <w:rPr>
          <w:noProof/>
        </w:rPr>
        <w:t>3</w:t>
      </w:r>
      <w:r w:rsidR="00F34EA8">
        <w:rPr>
          <w:rFonts w:ascii="Aptos" w:hAnsi="Aptos"/>
        </w:rPr>
        <w:fldChar w:fldCharType="end"/>
      </w:r>
      <w:r w:rsidRPr="00F34EA8">
        <w:rPr>
          <w:rFonts w:ascii="Aptos" w:hAnsi="Aptos"/>
        </w:rPr>
        <w:t>.</w:t>
      </w:r>
    </w:p>
    <w:p w14:paraId="2B473951" w14:textId="2AA1E018" w:rsidR="005F448B" w:rsidRPr="00F34EA8" w:rsidRDefault="00000000">
      <w:pPr>
        <w:pStyle w:val="BodyText"/>
        <w:rPr>
          <w:rFonts w:ascii="Aptos" w:hAnsi="Aptos"/>
        </w:rPr>
      </w:pPr>
      <w:r w:rsidRPr="00F34EA8">
        <w:rPr>
          <w:rFonts w:ascii="Aptos" w:hAnsi="Aptos"/>
        </w:rPr>
        <w:t>For a chloride fuel without active U(III)/U(IV) buffering</w:t>
      </w:r>
      <w:r w:rsidR="00B54BE7">
        <w:rPr>
          <w:rFonts w:ascii="Aptos" w:hAnsi="Aptos"/>
        </w:rPr>
        <w:t>, i.e.</w:t>
      </w:r>
      <w:r w:rsidRPr="00F34EA8">
        <w:rPr>
          <w:rFonts w:ascii="Aptos" w:hAnsi="Aptos"/>
        </w:rPr>
        <w:t>, either a buffer-exhausted salt or a chloride waste-form in which U has been separated</w:t>
      </w:r>
      <w:r w:rsidR="00B54BE7">
        <w:rPr>
          <w:rFonts w:ascii="Aptos" w:hAnsi="Aptos"/>
        </w:rPr>
        <w:t>,</w:t>
      </w:r>
      <w:r w:rsidRPr="00F34EA8">
        <w:rPr>
          <w:rFonts w:ascii="Aptos" w:hAnsi="Aptos"/>
        </w:rPr>
        <w:t xml:space="preserve"> the predicted Cl</w:t>
      </w:r>
      <m:oMath>
        <m:sSub>
          <m:sSubPr>
            <m:ctrlPr>
              <w:rPr>
                <w:rFonts w:ascii="Cambria Math" w:hAnsi="Cambria Math"/>
              </w:rPr>
            </m:ctrlPr>
          </m:sSubPr>
          <m:e>
            <m:r>
              <w:rPr>
                <w:rFonts w:ascii="Cambria Math" w:hAnsi="Cambria Math"/>
              </w:rPr>
              <m:t>​</m:t>
            </m:r>
          </m:e>
          <m:sub>
            <m:r>
              <w:rPr>
                <w:rFonts w:ascii="Cambria Math" w:hAnsi="Cambria Math"/>
              </w:rPr>
              <m:t>2</m:t>
            </m:r>
          </m:sub>
        </m:sSub>
      </m:oMath>
      <w:r w:rsidRPr="00F34EA8">
        <w:rPr>
          <w:rFonts w:ascii="Aptos" w:hAnsi="Aptos"/>
        </w:rPr>
        <w:t xml:space="preserve"> partial pressure in a </w:t>
      </w:r>
      <m:oMath>
        <m:r>
          <w:rPr>
            <w:rFonts w:ascii="Cambria Math" w:hAnsi="Cambria Math"/>
          </w:rPr>
          <m:t>1 m</m:t>
        </m:r>
        <m:sSup>
          <m:sSupPr>
            <m:ctrlPr>
              <w:rPr>
                <w:rFonts w:ascii="Cambria Math" w:hAnsi="Cambria Math"/>
                <w:i/>
              </w:rPr>
            </m:ctrlPr>
          </m:sSupPr>
          <m:e>
            <m:r>
              <w:rPr>
                <w:rFonts w:ascii="Cambria Math" w:hAnsi="Cambria Math"/>
              </w:rPr>
              <m:t>​</m:t>
            </m:r>
          </m:e>
          <m:sup>
            <m:r>
              <w:rPr>
                <w:rFonts w:ascii="Cambria Math" w:hAnsi="Cambria Math"/>
              </w:rPr>
              <m:t>3</m:t>
            </m:r>
          </m:sup>
        </m:sSup>
      </m:oMath>
      <w:r w:rsidRPr="00F34EA8">
        <w:rPr>
          <w:rFonts w:ascii="Aptos" w:hAnsi="Aptos"/>
        </w:rPr>
        <w:t xml:space="preserve"> sealed disposal container holding two metric tonnes of salt and </w:t>
      </w:r>
      <m:oMath>
        <m:r>
          <w:rPr>
            <w:rFonts w:ascii="Cambria Math" w:hAnsi="Cambria Math"/>
          </w:rPr>
          <m:t>100 L</m:t>
        </m:r>
      </m:oMath>
      <w:r w:rsidRPr="00F34EA8">
        <w:rPr>
          <w:rFonts w:ascii="Aptos" w:hAnsi="Aptos"/>
        </w:rPr>
        <w:t xml:space="preserve"> of head-space reaches the </w:t>
      </w:r>
      <m:oMath>
        <m:r>
          <w:rPr>
            <w:rFonts w:ascii="Cambria Math" w:hAnsi="Cambria Math"/>
          </w:rPr>
          <m:t>10</m:t>
        </m:r>
        <m:sSup>
          <m:sSupPr>
            <m:ctrlPr>
              <w:rPr>
                <w:rFonts w:ascii="Cambria Math" w:hAnsi="Cambria Math"/>
                <w:i/>
              </w:rPr>
            </m:ctrlPr>
          </m:sSupPr>
          <m:e>
            <m:r>
              <w:rPr>
                <w:rFonts w:ascii="Cambria Math" w:hAnsi="Cambria Math"/>
              </w:rPr>
              <m:t>​</m:t>
            </m:r>
          </m:e>
          <m:sup>
            <m:r>
              <w:rPr>
                <w:rFonts w:ascii="Cambria Math" w:hAnsi="Cambria Math"/>
              </w:rPr>
              <m:t>5</m:t>
            </m:r>
          </m:sup>
        </m:sSup>
        <m:r>
          <w:rPr>
            <w:rFonts w:ascii="Cambria Math" w:hAnsi="Cambria Math"/>
          </w:rPr>
          <m:t xml:space="preserve"> Pa</m:t>
        </m:r>
      </m:oMath>
      <w:r w:rsidRPr="00F34EA8">
        <w:rPr>
          <w:rFonts w:ascii="Aptos" w:hAnsi="Aptos"/>
        </w:rPr>
        <w:t xml:space="preserve"> container-design pressure at approximately one to ten years after discharge in the posterior median, and as early as approximately three months in the upper-90th-percentile tail. The chain-propagation efficiency </w:t>
      </w:r>
      <m:oMath>
        <m:r>
          <w:rPr>
            <w:rFonts w:ascii="Cambria Math" w:hAnsi="Cambria Math"/>
          </w:rPr>
          <m:t>η</m:t>
        </m:r>
      </m:oMath>
      <w:r w:rsidRPr="00F34EA8">
        <w:rPr>
          <w:rFonts w:ascii="Aptos" w:hAnsi="Aptos"/>
        </w:rPr>
        <w:t xml:space="preserve"> without U buffering is </w:t>
      </w:r>
      <w:r w:rsidRPr="00F34EA8">
        <w:rPr>
          <w:rFonts w:ascii="Aptos" w:hAnsi="Aptos"/>
        </w:rPr>
        <w:lastRenderedPageBreak/>
        <w:t xml:space="preserve">inferred at the level of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m:t>
            </m:r>
          </m:sup>
        </m:sSup>
      </m:oMath>
      <w:r w:rsidRPr="00F34EA8">
        <w:rPr>
          <w:rFonts w:ascii="Aptos" w:hAnsi="Aptos"/>
        </w:rPr>
        <w:t xml:space="preserve"> from the unbuffered terms of the chloride kernel; a 10 ppm-level scavenger (Te, S, O</w:t>
      </w:r>
      <m:oMath>
        <m:sSup>
          <m:sSupPr>
            <m:ctrlPr>
              <w:rPr>
                <w:rFonts w:ascii="Cambria Math" w:hAnsi="Cambria Math"/>
              </w:rPr>
            </m:ctrlPr>
          </m:sSupPr>
          <m:e>
            <m:r>
              <w:rPr>
                <w:rFonts w:ascii="Cambria Math" w:hAnsi="Cambria Math"/>
              </w:rPr>
              <m:t>​</m:t>
            </m:r>
          </m:e>
          <m:sup>
            <m:r>
              <w:rPr>
                <w:rFonts w:ascii="Cambria Math" w:hAnsi="Cambria Math"/>
              </w:rPr>
              <m:t>2</m:t>
            </m:r>
            <m:r>
              <m:rPr>
                <m:sty m:val="p"/>
              </m:rPr>
              <w:rPr>
                <w:rFonts w:ascii="Cambria Math" w:hAnsi="Cambria Math"/>
              </w:rPr>
              <m:t>-</m:t>
            </m:r>
          </m:sup>
        </m:sSup>
      </m:oMath>
      <w:r w:rsidRPr="00F34EA8">
        <w:rPr>
          <w:rFonts w:ascii="Aptos" w:hAnsi="Aptos"/>
        </w:rPr>
        <w:t xml:space="preserve"> from impurities or fission products) reduces this by a factor of </w:t>
      </w:r>
      <m:oMath>
        <m:sSup>
          <m:sSupPr>
            <m:ctrlPr>
              <w:rPr>
                <w:rFonts w:ascii="Cambria Math" w:hAnsi="Cambria Math"/>
              </w:rPr>
            </m:ctrlPr>
          </m:sSupPr>
          <m:e>
            <m:r>
              <w:rPr>
                <w:rFonts w:ascii="Cambria Math" w:hAnsi="Cambria Math"/>
              </w:rPr>
              <m:t>10</m:t>
            </m:r>
          </m:e>
          <m:sup>
            <m:r>
              <w:rPr>
                <w:rFonts w:ascii="Cambria Math" w:hAnsi="Cambria Math"/>
              </w:rPr>
              <m:t>3</m:t>
            </m:r>
          </m:sup>
        </m:sSup>
      </m:oMath>
      <w:r w:rsidRPr="00F34EA8">
        <w:rPr>
          <w:rFonts w:ascii="Aptos" w:hAnsi="Aptos"/>
        </w:rPr>
        <w:t xml:space="preserve"> or better, but in any case the absence of the U cycle removes the buffer that kept the operational MCFR prediction ten orders of magnitude below the limit. The implication for disposal package design is that the chloride waste form requires either an engineered redox buffer in the solidified matrix, a venting design that releases </w:t>
      </w:r>
      <m:oMath>
        <m:r>
          <w:rPr>
            <w:rFonts w:ascii="Cambria Math" w:hAnsi="Cambria Math"/>
          </w:rPr>
          <m:t>Cl</m:t>
        </m:r>
        <m:sSub>
          <m:sSubPr>
            <m:ctrlPr>
              <w:rPr>
                <w:rFonts w:ascii="Cambria Math" w:hAnsi="Cambria Math"/>
                <w:i/>
              </w:rPr>
            </m:ctrlPr>
          </m:sSubPr>
          <m:e>
            <m:r>
              <w:rPr>
                <w:rFonts w:ascii="Cambria Math" w:hAnsi="Cambria Math"/>
              </w:rPr>
              <m:t>​</m:t>
            </m:r>
          </m:e>
          <m:sub>
            <m:r>
              <w:rPr>
                <w:rFonts w:ascii="Cambria Math" w:hAnsi="Cambria Math"/>
              </w:rPr>
              <m:t>2</m:t>
            </m:r>
          </m:sub>
        </m:sSub>
      </m:oMath>
      <w:r w:rsidRPr="00F34EA8">
        <w:rPr>
          <w:rFonts w:ascii="Aptos" w:hAnsi="Aptos"/>
        </w:rPr>
        <w:t xml:space="preserve"> to a getter, or a hot-cell handling step that reduces the inventory by a controlled fluorination.</w:t>
      </w:r>
    </w:p>
    <w:p w14:paraId="666EABF8" w14:textId="77777777" w:rsidR="005F448B" w:rsidRPr="00F34EA8" w:rsidRDefault="00000000">
      <w:pPr>
        <w:pStyle w:val="BodyText"/>
        <w:rPr>
          <w:rFonts w:ascii="Aptos" w:hAnsi="Aptos"/>
        </w:rPr>
      </w:pPr>
      <w:r w:rsidRPr="00F34EA8">
        <w:rPr>
          <w:rFonts w:ascii="Aptos" w:hAnsi="Aptos"/>
        </w:rPr>
        <w:t xml:space="preserve">For a fluoride fuel held at 200 </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rsidRPr="00F34EA8">
        <w:rPr>
          <w:rFonts w:ascii="Aptos" w:hAnsi="Aptos"/>
        </w:rPr>
        <w:t>C in the same sealed-container geometry, the F</w:t>
      </w:r>
      <m:oMath>
        <m:sSub>
          <m:sSubPr>
            <m:ctrlPr>
              <w:rPr>
                <w:rFonts w:ascii="Cambria Math" w:hAnsi="Cambria Math"/>
              </w:rPr>
            </m:ctrlPr>
          </m:sSubPr>
          <m:e>
            <m:r>
              <w:rPr>
                <w:rFonts w:ascii="Cambria Math" w:hAnsi="Cambria Math"/>
              </w:rPr>
              <m:t>​</m:t>
            </m:r>
          </m:e>
          <m:sub>
            <m:r>
              <w:rPr>
                <w:rFonts w:ascii="Cambria Math" w:hAnsi="Cambria Math"/>
              </w:rPr>
              <m:t>2</m:t>
            </m:r>
          </m:sub>
        </m:sSub>
      </m:oMath>
      <w:r w:rsidRPr="00F34EA8">
        <w:rPr>
          <w:rFonts w:ascii="Aptos" w:hAnsi="Aptos"/>
        </w:rPr>
        <w:t xml:space="preserve"> steady-state partial pressure is approximately </w:t>
      </w:r>
      <m:oMath>
        <m:sSup>
          <m:sSupPr>
            <m:ctrlPr>
              <w:rPr>
                <w:rFonts w:ascii="Cambria Math" w:hAnsi="Cambria Math"/>
              </w:rPr>
            </m:ctrlPr>
          </m:sSupPr>
          <m:e>
            <m:r>
              <w:rPr>
                <w:rFonts w:ascii="Cambria Math" w:hAnsi="Cambria Math"/>
              </w:rPr>
              <m:t>10</m:t>
            </m:r>
          </m:e>
          <m:sup>
            <m:r>
              <w:rPr>
                <w:rFonts w:ascii="Cambria Math" w:hAnsi="Cambria Math"/>
              </w:rPr>
              <m:t>3</m:t>
            </m:r>
          </m:sup>
        </m:sSup>
      </m:oMath>
      <w:r w:rsidRPr="00F34EA8">
        <w:rPr>
          <w:rFonts w:ascii="Aptos" w:hAnsi="Aptos"/>
        </w:rPr>
        <w:t xml:space="preserve"> Pa median, with a 90% posterior band spanning </w:t>
      </w:r>
      <m:oMath>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m:t>
            </m:r>
          </m:sup>
        </m:sSup>
      </m:oMath>
      <w:r w:rsidRPr="00F34EA8">
        <w:rPr>
          <w:rFonts w:ascii="Aptos" w:hAnsi="Aptos"/>
        </w:rPr>
        <w:t xml:space="preserve"> Pa to </w:t>
      </w:r>
      <m:oMath>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oMath>
      <w:r w:rsidRPr="00F34EA8">
        <w:rPr>
          <w:rFonts w:ascii="Aptos" w:hAnsi="Aptos"/>
        </w:rPr>
        <w:t xml:space="preserve"> Pa, and is essentially time-independent over the disposal interval because F</w:t>
      </w:r>
      <m:oMath>
        <m:sSub>
          <m:sSubPr>
            <m:ctrlPr>
              <w:rPr>
                <w:rFonts w:ascii="Cambria Math" w:hAnsi="Cambria Math"/>
              </w:rPr>
            </m:ctrlPr>
          </m:sSubPr>
          <m:e>
            <m:r>
              <w:rPr>
                <w:rFonts w:ascii="Cambria Math" w:hAnsi="Cambria Math"/>
              </w:rPr>
              <m:t>​</m:t>
            </m:r>
          </m:e>
          <m:sub>
            <m:r>
              <w:rPr>
                <w:rFonts w:ascii="Cambria Math" w:hAnsi="Cambria Math"/>
              </w:rPr>
              <m:t>2</m:t>
            </m:r>
          </m:sub>
        </m:sSub>
      </m:oMath>
      <w:r w:rsidRPr="00F34EA8">
        <w:rPr>
          <w:rFonts w:ascii="Aptos" w:hAnsi="Aptos"/>
        </w:rPr>
        <w:t xml:space="preserve"> recombination at metal walls (Toth and Felker 1990 activation energy 39 kJ/mol, calibrated pre-exponential </w:t>
      </w:r>
      <m:oMath>
        <m:sSub>
          <m:sSubPr>
            <m:ctrlPr>
              <w:rPr>
                <w:rFonts w:ascii="Cambria Math" w:hAnsi="Cambria Math"/>
              </w:rPr>
            </m:ctrlPr>
          </m:sSubPr>
          <m:e>
            <m:r>
              <w:rPr>
                <w:rFonts w:ascii="Cambria Math" w:hAnsi="Cambria Math"/>
              </w:rPr>
              <m:t>A</m:t>
            </m:r>
          </m:e>
          <m:sub>
            <m:r>
              <m:rPr>
                <m:sty m:val="p"/>
              </m:rPr>
              <w:rPr>
                <w:rFonts w:ascii="Cambria Math" w:hAnsi="Cambria Math"/>
              </w:rPr>
              <m:t>rec</m:t>
            </m:r>
          </m:sub>
        </m:sSub>
        <m:r>
          <m:rPr>
            <m:sty m:val="p"/>
          </m:rPr>
          <w:rPr>
            <w:rFonts w:ascii="Cambria Math" w:hAnsi="Cambria Math"/>
          </w:rPr>
          <m:t>≈</m:t>
        </m:r>
        <m:r>
          <w:rPr>
            <w:rFonts w:ascii="Cambria Math" w:hAnsi="Cambria Math"/>
          </w:rPr>
          <m:t>250</m:t>
        </m:r>
      </m:oMath>
      <w:r w:rsidRPr="00F34EA8">
        <w:rPr>
          <w:rFonts w:ascii="Aptos" w:hAnsi="Aptos"/>
        </w:rPr>
        <w:t xml:space="preserve"> h</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rsidRPr="00F34EA8">
        <w:rPr>
          <w:rFonts w:ascii="Aptos" w:hAnsi="Aptos"/>
        </w:rPr>
        <w:t xml:space="preserve">) is fast on the disposal timescale. The fluoride margin against the </w:t>
      </w:r>
      <m:oMath>
        <m:sSup>
          <m:sSupPr>
            <m:ctrlPr>
              <w:rPr>
                <w:rFonts w:ascii="Cambria Math" w:hAnsi="Cambria Math"/>
              </w:rPr>
            </m:ctrlPr>
          </m:sSupPr>
          <m:e>
            <m:r>
              <w:rPr>
                <w:rFonts w:ascii="Cambria Math" w:hAnsi="Cambria Math"/>
              </w:rPr>
              <m:t>10</m:t>
            </m:r>
          </m:e>
          <m:sup>
            <m:r>
              <w:rPr>
                <w:rFonts w:ascii="Cambria Math" w:hAnsi="Cambria Math"/>
              </w:rPr>
              <m:t>5</m:t>
            </m:r>
          </m:sup>
        </m:sSup>
      </m:oMath>
      <w:r w:rsidRPr="00F34EA8">
        <w:rPr>
          <w:rFonts w:ascii="Aptos" w:hAnsi="Aptos"/>
        </w:rPr>
        <w:t xml:space="preserve"> Pa container limit is therefore approximately two orders of magnitude, comfortably below the operational design pressure in the median but not in the upper-tail posterior. The dominant uncertainty contributor is the </w:t>
      </w:r>
      <m:oMath>
        <m:r>
          <w:rPr>
            <w:rFonts w:ascii="Cambria Math" w:hAnsi="Cambria Math"/>
          </w:rPr>
          <m:t>6</m:t>
        </m:r>
        <m:r>
          <m:rPr>
            <m:sty m:val="p"/>
          </m:rPr>
          <w:rPr>
            <w:rFonts w:ascii="Cambria Math" w:hAnsi="Cambria Math"/>
          </w:rPr>
          <m:t>×</m:t>
        </m:r>
      </m:oMath>
      <w:r w:rsidRPr="00F34EA8">
        <w:rPr>
          <w:rFonts w:ascii="Aptos" w:hAnsi="Aptos"/>
        </w:rPr>
        <w:t xml:space="preserve">-temperature extrapolation of the Toth-Felker recombination Arrhenius from 423 K (where it is calibrated) to 473 K (the disposal target). A confirmation experiment at </w:t>
      </w:r>
      <m:oMath>
        <m:r>
          <w:rPr>
            <w:rFonts w:ascii="Cambria Math" w:hAnsi="Cambria Math"/>
          </w:rPr>
          <m:t>T</m:t>
        </m:r>
        <m:r>
          <m:rPr>
            <m:sty m:val="p"/>
          </m:rPr>
          <w:rPr>
            <w:rFonts w:ascii="Cambria Math" w:hAnsi="Cambria Math"/>
          </w:rPr>
          <m:t>∼</m:t>
        </m:r>
        <m:r>
          <w:rPr>
            <w:rFonts w:ascii="Cambria Math" w:hAnsi="Cambria Math"/>
          </w:rPr>
          <m:t>200</m:t>
        </m:r>
        <m:sSup>
          <m:sSupPr>
            <m:ctrlPr>
              <w:rPr>
                <w:rFonts w:ascii="Cambria Math" w:hAnsi="Cambria Math"/>
              </w:rPr>
            </m:ctrlPr>
          </m:sSupPr>
          <m:e>
            <m:r>
              <w:rPr>
                <w:rFonts w:ascii="Cambria Math" w:hAnsi="Cambria Math"/>
              </w:rPr>
              <m:t> </m:t>
            </m:r>
          </m:e>
          <m:sup>
            <m:r>
              <m:rPr>
                <m:sty m:val="p"/>
              </m:rPr>
              <w:rPr>
                <w:rFonts w:ascii="Cambria Math" w:hAnsi="Cambria Math"/>
              </w:rPr>
              <m:t>∘</m:t>
            </m:r>
          </m:sup>
        </m:sSup>
      </m:oMath>
      <w:r w:rsidRPr="00F34EA8">
        <w:rPr>
          <w:rFonts w:ascii="Aptos" w:hAnsi="Aptos"/>
        </w:rPr>
        <w:t>C in a fluoride salt analog would compress this uncertainty.</w:t>
      </w:r>
    </w:p>
    <w:p w14:paraId="3EC8373D" w14:textId="77777777" w:rsidR="005F448B" w:rsidRPr="00F34EA8" w:rsidRDefault="00000000">
      <w:pPr>
        <w:pStyle w:val="CaptionedFigure"/>
        <w:rPr>
          <w:rFonts w:ascii="Aptos" w:hAnsi="Aptos"/>
        </w:rPr>
      </w:pPr>
      <w:bookmarkStart w:id="8" w:name="fig:inventory"/>
      <w:r w:rsidRPr="00F34EA8">
        <w:rPr>
          <w:rFonts w:ascii="Aptos" w:hAnsi="Aptos"/>
          <w:noProof/>
        </w:rPr>
        <w:drawing>
          <wp:inline distT="0" distB="0" distL="0" distR="0" wp14:anchorId="20DE324C" wp14:editId="073C6415">
            <wp:extent cx="5334000" cy="2524036"/>
            <wp:effectExtent l="0" t="0" r="0" b="0"/>
            <wp:docPr id="20" name="Picture" descr="Posterior-predictive gas inventory in a sealed 1 m^3 disposal container holding 2 metric tonnes of (a) chloride fuel salt without U(III)/U(IV) buffer and (b) fluoride fuel salt at 200 ^\circC, as a function of time after discharge. Median predictions are heavy lines; the 90% band reflects the joint posterior on G_\mathrm{Cl^\bullet}, chain-propagation efficiency \eta, G_\mathrm{F_2}, and the calibrated recombination kinetics. The chloride case crosses the 10^5 Pa container-design pressure at \sim 1-10 years in the posterior median; the fluoride case sits at \sim 10^3 Pa indefinitely. The figure assumes no engineered buffer and an integrated dose-rate trajectory consistent with Fig. [@fig:dose]."/>
            <wp:cNvGraphicFramePr/>
            <a:graphic xmlns:a="http://schemas.openxmlformats.org/drawingml/2006/main">
              <a:graphicData uri="http://schemas.openxmlformats.org/drawingml/2006/picture">
                <pic:pic xmlns:pic="http://schemas.openxmlformats.org/drawingml/2006/picture">
                  <pic:nvPicPr>
                    <pic:cNvPr id="21" name="Picture" descr="figures/fig_disposal_container_inventory.png"/>
                    <pic:cNvPicPr>
                      <a:picLocks noChangeAspect="1" noChangeArrowheads="1"/>
                    </pic:cNvPicPr>
                  </pic:nvPicPr>
                  <pic:blipFill>
                    <a:blip r:embed="rId8"/>
                    <a:stretch>
                      <a:fillRect/>
                    </a:stretch>
                  </pic:blipFill>
                  <pic:spPr bwMode="auto">
                    <a:xfrm>
                      <a:off x="0" y="0"/>
                      <a:ext cx="5334000" cy="2524036"/>
                    </a:xfrm>
                    <a:prstGeom prst="rect">
                      <a:avLst/>
                    </a:prstGeom>
                    <a:noFill/>
                    <a:ln w="9525">
                      <a:noFill/>
                      <a:headEnd/>
                      <a:tailEnd/>
                    </a:ln>
                  </pic:spPr>
                </pic:pic>
              </a:graphicData>
            </a:graphic>
          </wp:inline>
        </w:drawing>
      </w:r>
    </w:p>
    <w:p w14:paraId="21FBF973" w14:textId="4A6E81F8" w:rsidR="005F448B" w:rsidRPr="00F34EA8" w:rsidRDefault="00F34EA8" w:rsidP="00F34EA8">
      <w:pPr>
        <w:pStyle w:val="Caption"/>
        <w:rPr>
          <w:rFonts w:ascii="Aptos" w:hAnsi="Aptos"/>
        </w:rPr>
      </w:pPr>
      <w:bookmarkStart w:id="9" w:name="_Ref231917326"/>
      <w:r>
        <w:t xml:space="preserve">Figure </w:t>
      </w:r>
      <w:fldSimple w:instr=" SEQ Figure \* ARABIC ">
        <w:r>
          <w:rPr>
            <w:noProof/>
          </w:rPr>
          <w:t>3</w:t>
        </w:r>
      </w:fldSimple>
      <w:bookmarkEnd w:id="9"/>
      <w:r>
        <w:t xml:space="preserve">. </w:t>
      </w:r>
      <w:r w:rsidR="00000000" w:rsidRPr="00F34EA8">
        <w:rPr>
          <w:rFonts w:ascii="Aptos" w:hAnsi="Aptos"/>
        </w:rPr>
        <w:t>Posterior-predictive gas inventory in a sealed 1 m</w:t>
      </w:r>
      <m:oMath>
        <m:sSup>
          <m:sSupPr>
            <m:ctrlPr>
              <w:rPr>
                <w:rFonts w:ascii="Cambria Math" w:hAnsi="Cambria Math"/>
              </w:rPr>
            </m:ctrlPr>
          </m:sSupPr>
          <m:e>
            <m:r>
              <w:rPr>
                <w:rFonts w:ascii="Cambria Math" w:hAnsi="Cambria Math"/>
              </w:rPr>
              <m:t>​</m:t>
            </m:r>
          </m:e>
          <m:sup>
            <m:r>
              <w:rPr>
                <w:rFonts w:ascii="Cambria Math" w:hAnsi="Cambria Math"/>
              </w:rPr>
              <m:t>3</m:t>
            </m:r>
          </m:sup>
        </m:sSup>
      </m:oMath>
      <w:r w:rsidR="00000000" w:rsidRPr="00F34EA8">
        <w:rPr>
          <w:rFonts w:ascii="Aptos" w:hAnsi="Aptos"/>
        </w:rPr>
        <w:t xml:space="preserve"> disposal container holding 2 metric tonnes of (a) chloride fuel salt without U(III)/U(IV) buffer and (b) fluoride fuel salt at 200 </w:t>
      </w:r>
      <m:oMath>
        <m:sSup>
          <m:sSupPr>
            <m:ctrlPr>
              <w:rPr>
                <w:rFonts w:ascii="Cambria Math" w:hAnsi="Cambria Math"/>
              </w:rPr>
            </m:ctrlPr>
          </m:sSupPr>
          <m:e>
            <m:r>
              <w:rPr>
                <w:rFonts w:ascii="Cambria Math" w:hAnsi="Cambria Math"/>
              </w:rPr>
              <m:t>​</m:t>
            </m:r>
          </m:e>
          <m:sup>
            <m:r>
              <w:rPr>
                <w:rFonts w:ascii="Cambria Math" w:hAnsi="Cambria Math"/>
              </w:rPr>
              <m:t>∘</m:t>
            </m:r>
          </m:sup>
        </m:sSup>
      </m:oMath>
      <w:r w:rsidR="00000000" w:rsidRPr="00F34EA8">
        <w:rPr>
          <w:rFonts w:ascii="Aptos" w:hAnsi="Aptos"/>
        </w:rPr>
        <w:t xml:space="preserve">C, as a function of time after discharge. Median predictions are heavy lines; the 90% band reflects the joint posterior on </w:t>
      </w:r>
      <m:oMath>
        <m:sSub>
          <m:sSubPr>
            <m:ctrlPr>
              <w:rPr>
                <w:rFonts w:ascii="Cambria Math" w:hAnsi="Cambria Math"/>
              </w:rPr>
            </m:ctrlPr>
          </m:sSubPr>
          <m:e>
            <m:r>
              <w:rPr>
                <w:rFonts w:ascii="Cambria Math" w:hAnsi="Cambria Math"/>
              </w:rPr>
              <m:t>G</m:t>
            </m:r>
          </m:e>
          <m:sub>
            <m:r>
              <w:rPr>
                <w:rFonts w:ascii="Cambria Math" w:hAnsi="Cambria Math"/>
              </w:rPr>
              <m:t>C</m:t>
            </m:r>
            <m:sSup>
              <m:sSupPr>
                <m:ctrlPr>
                  <w:rPr>
                    <w:rFonts w:ascii="Cambria Math" w:hAnsi="Cambria Math"/>
                  </w:rPr>
                </m:ctrlPr>
              </m:sSupPr>
              <m:e>
                <m:r>
                  <w:rPr>
                    <w:rFonts w:ascii="Cambria Math" w:hAnsi="Cambria Math"/>
                  </w:rPr>
                  <m:t>l</m:t>
                </m:r>
              </m:e>
              <m:sup>
                <m:r>
                  <w:rPr>
                    <w:rFonts w:ascii="Cambria Math" w:hAnsi="Cambria Math"/>
                  </w:rPr>
                  <m:t>•</m:t>
                </m:r>
              </m:sup>
            </m:sSup>
          </m:sub>
        </m:sSub>
      </m:oMath>
      <w:r w:rsidR="00000000" w:rsidRPr="00F34EA8">
        <w:rPr>
          <w:rFonts w:ascii="Aptos" w:hAnsi="Aptos"/>
        </w:rPr>
        <w:t xml:space="preserve">, chain-propagation efficiency </w:t>
      </w:r>
      <m:oMath>
        <m:r>
          <w:rPr>
            <w:rFonts w:ascii="Cambria Math" w:hAnsi="Cambria Math"/>
          </w:rPr>
          <m:t>η</m:t>
        </m:r>
      </m:oMath>
      <w:r w:rsidR="00000000" w:rsidRPr="00F34EA8">
        <w:rPr>
          <w:rFonts w:ascii="Aptos" w:hAnsi="Aptos"/>
        </w:rPr>
        <w:t xml:space="preserve">, </w:t>
      </w:r>
      <m:oMath>
        <m:sSub>
          <m:sSubPr>
            <m:ctrlPr>
              <w:rPr>
                <w:rFonts w:ascii="Cambria Math" w:hAnsi="Cambria Math"/>
              </w:rPr>
            </m:ctrlPr>
          </m:sSubPr>
          <m:e>
            <m:r>
              <w:rPr>
                <w:rFonts w:ascii="Cambria Math" w:hAnsi="Cambria Math"/>
              </w:rPr>
              <m:t>G</m:t>
            </m:r>
          </m:e>
          <m:sub>
            <m:sSub>
              <m:sSubPr>
                <m:ctrlPr>
                  <w:rPr>
                    <w:rFonts w:ascii="Cambria Math" w:hAnsi="Cambria Math"/>
                  </w:rPr>
                </m:ctrlPr>
              </m:sSubPr>
              <m:e>
                <m:r>
                  <w:rPr>
                    <w:rFonts w:ascii="Cambria Math" w:hAnsi="Cambria Math"/>
                  </w:rPr>
                  <m:t>F</m:t>
                </m:r>
              </m:e>
              <m:sub>
                <m:r>
                  <w:rPr>
                    <w:rFonts w:ascii="Cambria Math" w:hAnsi="Cambria Math"/>
                  </w:rPr>
                  <m:t>2</m:t>
                </m:r>
              </m:sub>
            </m:sSub>
          </m:sub>
        </m:sSub>
      </m:oMath>
      <w:r w:rsidR="00000000" w:rsidRPr="00F34EA8">
        <w:rPr>
          <w:rFonts w:ascii="Aptos" w:hAnsi="Aptos"/>
        </w:rPr>
        <w:t xml:space="preserve">, and the calibrated recombination kinetics. The chloride case crosses the </w:t>
      </w:r>
      <m:oMath>
        <m:sSup>
          <m:sSupPr>
            <m:ctrlPr>
              <w:rPr>
                <w:rFonts w:ascii="Cambria Math" w:hAnsi="Cambria Math"/>
              </w:rPr>
            </m:ctrlPr>
          </m:sSupPr>
          <m:e>
            <m:r>
              <w:rPr>
                <w:rFonts w:ascii="Cambria Math" w:hAnsi="Cambria Math"/>
              </w:rPr>
              <m:t>10</m:t>
            </m:r>
          </m:e>
          <m:sup>
            <m:r>
              <w:rPr>
                <w:rFonts w:ascii="Cambria Math" w:hAnsi="Cambria Math"/>
              </w:rPr>
              <m:t>5</m:t>
            </m:r>
          </m:sup>
        </m:sSup>
      </m:oMath>
      <w:r w:rsidR="00000000" w:rsidRPr="00F34EA8">
        <w:rPr>
          <w:rFonts w:ascii="Aptos" w:hAnsi="Aptos"/>
        </w:rPr>
        <w:t xml:space="preserve"> Pa container-design pressure at </w:t>
      </w:r>
      <m:oMath>
        <m:r>
          <w:rPr>
            <w:rFonts w:ascii="Cambria Math" w:hAnsi="Cambria Math"/>
          </w:rPr>
          <m:t>∼1-10</m:t>
        </m:r>
      </m:oMath>
      <w:r w:rsidR="00000000" w:rsidRPr="00F34EA8">
        <w:rPr>
          <w:rFonts w:ascii="Aptos" w:hAnsi="Aptos"/>
        </w:rPr>
        <w:t xml:space="preserve"> years in the posterior median; the fluoride case sits at </w:t>
      </w:r>
      <m:oMath>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oMath>
      <w:r w:rsidR="00000000" w:rsidRPr="00F34EA8">
        <w:rPr>
          <w:rFonts w:ascii="Aptos" w:hAnsi="Aptos"/>
        </w:rPr>
        <w:t xml:space="preserve"> Pa indefinitely. The figure assumes no engineered buffer and an integrated dose-rate trajectory consistent </w:t>
      </w:r>
      <w:proofErr w:type="spellStart"/>
      <w:r w:rsidR="00000000" w:rsidRPr="00F34EA8">
        <w:rPr>
          <w:rFonts w:ascii="Aptos" w:hAnsi="Aptos"/>
        </w:rPr>
        <w:t>with</w:t>
      </w:r>
      <w:r w:rsidR="00B54BE7">
        <w:rPr>
          <w:rFonts w:ascii="Aptos" w:hAnsi="Aptos"/>
        </w:rPr>
        <w:fldChar w:fldCharType="begin"/>
      </w:r>
      <w:r w:rsidR="00B54BE7">
        <w:rPr>
          <w:rFonts w:ascii="Aptos" w:hAnsi="Aptos"/>
        </w:rPr>
        <w:instrText xml:space="preserve"> REF _Ref231917063 \h </w:instrText>
      </w:r>
      <w:r w:rsidR="00B54BE7">
        <w:rPr>
          <w:rFonts w:ascii="Aptos" w:hAnsi="Aptos"/>
        </w:rPr>
      </w:r>
      <w:r w:rsidR="00B54BE7">
        <w:rPr>
          <w:rFonts w:ascii="Aptos" w:hAnsi="Aptos"/>
        </w:rPr>
        <w:fldChar w:fldCharType="separate"/>
      </w:r>
      <w:r w:rsidR="00B54BE7" w:rsidRPr="00F34EA8">
        <w:rPr>
          <w:sz w:val="21"/>
          <w:szCs w:val="21"/>
        </w:rPr>
        <w:t>Figure</w:t>
      </w:r>
      <w:proofErr w:type="spellEnd"/>
      <w:r w:rsidR="00B54BE7" w:rsidRPr="00F34EA8">
        <w:rPr>
          <w:sz w:val="21"/>
          <w:szCs w:val="21"/>
        </w:rPr>
        <w:t xml:space="preserve"> </w:t>
      </w:r>
      <w:r w:rsidR="00B54BE7">
        <w:rPr>
          <w:noProof/>
          <w:sz w:val="21"/>
          <w:szCs w:val="21"/>
        </w:rPr>
        <w:t>1</w:t>
      </w:r>
      <w:r w:rsidR="00B54BE7">
        <w:rPr>
          <w:rFonts w:ascii="Aptos" w:hAnsi="Aptos"/>
        </w:rPr>
        <w:fldChar w:fldCharType="end"/>
      </w:r>
      <w:r w:rsidR="00000000" w:rsidRPr="00F34EA8">
        <w:rPr>
          <w:rFonts w:ascii="Aptos" w:hAnsi="Aptos"/>
        </w:rPr>
        <w:t>.</w:t>
      </w:r>
    </w:p>
    <w:bookmarkEnd w:id="8"/>
    <w:p w14:paraId="5A9D85E5" w14:textId="75315F0A" w:rsidR="005F448B" w:rsidRPr="00F34EA8" w:rsidRDefault="00000000">
      <w:pPr>
        <w:pStyle w:val="BodyText"/>
        <w:rPr>
          <w:rFonts w:ascii="Aptos" w:hAnsi="Aptos"/>
        </w:rPr>
      </w:pPr>
      <w:r w:rsidRPr="00F34EA8">
        <w:rPr>
          <w:rFonts w:ascii="Aptos" w:hAnsi="Aptos"/>
        </w:rPr>
        <w:lastRenderedPageBreak/>
        <w:t xml:space="preserve">The dose-rate cross-over at </w:t>
      </w:r>
      <m:oMath>
        <m:r>
          <m:rPr>
            <m:sty m:val="p"/>
          </m:rPr>
          <w:rPr>
            <w:rFonts w:ascii="Cambria Math" w:hAnsi="Cambria Math"/>
          </w:rPr>
          <m:t>∼</m:t>
        </m:r>
      </m:oMath>
      <w:r w:rsidRPr="00F34EA8">
        <w:rPr>
          <w:rFonts w:ascii="Aptos" w:hAnsi="Aptos"/>
        </w:rPr>
        <w:t xml:space="preserve"> 150 years (</w:t>
      </w:r>
      <w:r w:rsidR="00B54BE7">
        <w:rPr>
          <w:rFonts w:ascii="Aptos" w:hAnsi="Aptos"/>
        </w:rPr>
        <w:fldChar w:fldCharType="begin"/>
      </w:r>
      <w:r w:rsidR="00B54BE7">
        <w:rPr>
          <w:rFonts w:ascii="Aptos" w:hAnsi="Aptos"/>
        </w:rPr>
        <w:instrText xml:space="preserve"> REF _Ref231917063 \h </w:instrText>
      </w:r>
      <w:r w:rsidR="00B54BE7">
        <w:rPr>
          <w:rFonts w:ascii="Aptos" w:hAnsi="Aptos"/>
        </w:rPr>
      </w:r>
      <w:r w:rsidR="00B54BE7">
        <w:rPr>
          <w:rFonts w:ascii="Aptos" w:hAnsi="Aptos"/>
        </w:rPr>
        <w:fldChar w:fldCharType="separate"/>
      </w:r>
      <w:r w:rsidR="00B54BE7" w:rsidRPr="00F34EA8">
        <w:rPr>
          <w:sz w:val="21"/>
          <w:szCs w:val="21"/>
        </w:rPr>
        <w:t xml:space="preserve">Figure </w:t>
      </w:r>
      <w:r w:rsidR="00B54BE7">
        <w:rPr>
          <w:noProof/>
          <w:sz w:val="21"/>
          <w:szCs w:val="21"/>
        </w:rPr>
        <w:t>1</w:t>
      </w:r>
      <w:r w:rsidR="00B54BE7">
        <w:rPr>
          <w:rFonts w:ascii="Aptos" w:hAnsi="Aptos"/>
        </w:rPr>
        <w:fldChar w:fldCharType="end"/>
      </w:r>
      <w:r w:rsidR="00B54BE7">
        <w:rPr>
          <w:rFonts w:ascii="Aptos" w:hAnsi="Aptos"/>
        </w:rPr>
        <w:t xml:space="preserve">) </w:t>
      </w:r>
      <w:r w:rsidRPr="00F34EA8">
        <w:rPr>
          <w:rFonts w:ascii="Aptos" w:hAnsi="Aptos"/>
        </w:rPr>
        <w:t xml:space="preserve">introduces a regime change in the chloride prediction: between one year and 150 years the </w:t>
      </w:r>
      <m:oMath>
        <m:r>
          <w:rPr>
            <w:rFonts w:ascii="Cambria Math" w:hAnsi="Cambria Math"/>
          </w:rPr>
          <m:t>β/γ</m:t>
        </m:r>
      </m:oMath>
      <w:r w:rsidRPr="00F34EA8">
        <w:rPr>
          <w:rFonts w:ascii="Aptos" w:hAnsi="Aptos"/>
        </w:rPr>
        <w:t xml:space="preserve"> flux dominates and the calibrated kernel applies essentially unmodified, while beyond 150 years the α activity takes over and the linear-energy-transfer correction enters. The correction is between a factor of one and a factor of five depending on the radical-yield ratio assumed for high-LET tracks. The fluoride prediction is less sensitive to the cross-over because the steady-state balance is set by the recombination Arrhenius, not by the integrated dose.</w:t>
      </w:r>
    </w:p>
    <w:p w14:paraId="68268937" w14:textId="77777777" w:rsidR="005F448B" w:rsidRPr="00F34EA8" w:rsidRDefault="00000000">
      <w:pPr>
        <w:pStyle w:val="Heading2"/>
        <w:rPr>
          <w:rFonts w:ascii="Aptos" w:hAnsi="Aptos"/>
        </w:rPr>
      </w:pPr>
      <w:bookmarkStart w:id="10" w:name="implications-for-the-disposal-program"/>
      <w:bookmarkEnd w:id="7"/>
      <w:r w:rsidRPr="00F34EA8">
        <w:rPr>
          <w:rFonts w:ascii="Aptos" w:hAnsi="Aptos"/>
        </w:rPr>
        <w:t>4. Implications for the disposal program</w:t>
      </w:r>
    </w:p>
    <w:p w14:paraId="296AF9D2" w14:textId="0A451487" w:rsidR="005F448B" w:rsidRPr="00F34EA8" w:rsidRDefault="00000000">
      <w:pPr>
        <w:pStyle w:val="FirstParagraph"/>
        <w:rPr>
          <w:rFonts w:ascii="Aptos" w:hAnsi="Aptos"/>
        </w:rPr>
      </w:pPr>
      <w:r w:rsidRPr="00F34EA8">
        <w:rPr>
          <w:rFonts w:ascii="Aptos" w:hAnsi="Aptos"/>
        </w:rPr>
        <w:t xml:space="preserve">The principal conclusions for a fuel-salt disposal </w:t>
      </w:r>
      <w:r w:rsidR="00B54BE7">
        <w:rPr>
          <w:rFonts w:ascii="Aptos" w:hAnsi="Aptos"/>
        </w:rPr>
        <w:t>radiolysis modeling</w:t>
      </w:r>
      <w:r w:rsidRPr="00F34EA8">
        <w:rPr>
          <w:rFonts w:ascii="Aptos" w:hAnsi="Aptos"/>
        </w:rPr>
        <w:t xml:space="preserve"> are:</w:t>
      </w:r>
    </w:p>
    <w:p w14:paraId="07FEA3EA" w14:textId="7C5F30C8" w:rsidR="005F448B" w:rsidRPr="00F34EA8" w:rsidRDefault="00000000">
      <w:pPr>
        <w:numPr>
          <w:ilvl w:val="0"/>
          <w:numId w:val="2"/>
        </w:numPr>
        <w:rPr>
          <w:rFonts w:ascii="Aptos" w:hAnsi="Aptos"/>
        </w:rPr>
      </w:pPr>
      <w:r w:rsidRPr="00F34EA8">
        <w:rPr>
          <w:rFonts w:ascii="Aptos" w:hAnsi="Aptos"/>
          <w:b/>
          <w:bCs/>
        </w:rPr>
        <w:t>Chloride and fluoride disposal forms face qualitatively different radiolytic-gas constraints.</w:t>
      </w:r>
      <w:r w:rsidRPr="00F34EA8">
        <w:rPr>
          <w:rFonts w:ascii="Aptos" w:hAnsi="Aptos"/>
        </w:rPr>
        <w:t xml:space="preserve"> Chloride salt without an engineered buffer accumulates </w:t>
      </w:r>
      <m:oMath>
        <m:r>
          <w:rPr>
            <w:rFonts w:ascii="Cambria Math" w:hAnsi="Cambria Math"/>
          </w:rPr>
          <m:t>Cl</m:t>
        </m:r>
        <m:sSub>
          <m:sSubPr>
            <m:ctrlPr>
              <w:rPr>
                <w:rFonts w:ascii="Cambria Math" w:hAnsi="Cambria Math"/>
                <w:i/>
              </w:rPr>
            </m:ctrlPr>
          </m:sSubPr>
          <m:e>
            <m:r>
              <w:rPr>
                <w:rFonts w:ascii="Cambria Math" w:hAnsi="Cambria Math"/>
              </w:rPr>
              <m:t>​</m:t>
            </m:r>
          </m:e>
          <m:sub>
            <m:r>
              <w:rPr>
                <w:rFonts w:ascii="Cambria Math" w:hAnsi="Cambria Math"/>
              </w:rPr>
              <m:t>2</m:t>
            </m:r>
          </m:sub>
        </m:sSub>
      </m:oMath>
      <w:r w:rsidRPr="00F34EA8">
        <w:rPr>
          <w:rFonts w:ascii="Aptos" w:hAnsi="Aptos"/>
        </w:rPr>
        <w:t xml:space="preserve"> approximately linearly with integrated dose; the standard </w:t>
      </w:r>
      <m:oMath>
        <m:sSup>
          <m:sSupPr>
            <m:ctrlPr>
              <w:rPr>
                <w:rFonts w:ascii="Cambria Math" w:hAnsi="Cambria Math"/>
              </w:rPr>
            </m:ctrlPr>
          </m:sSupPr>
          <m:e>
            <m:r>
              <w:rPr>
                <w:rFonts w:ascii="Cambria Math" w:hAnsi="Cambria Math"/>
              </w:rPr>
              <m:t>10</m:t>
            </m:r>
          </m:e>
          <m:sup>
            <m:r>
              <w:rPr>
                <w:rFonts w:ascii="Cambria Math" w:hAnsi="Cambria Math"/>
              </w:rPr>
              <m:t>5</m:t>
            </m:r>
          </m:sup>
        </m:sSup>
      </m:oMath>
      <w:r w:rsidRPr="00F34EA8">
        <w:rPr>
          <w:rFonts w:ascii="Aptos" w:hAnsi="Aptos"/>
        </w:rPr>
        <w:t xml:space="preserve"> Pa container design pressure is exceeded within years in posterior median. Fluoride salt reaches a much lower steady-state </w:t>
      </w:r>
      <m:oMath>
        <m:r>
          <w:rPr>
            <w:rFonts w:ascii="Cambria Math" w:hAnsi="Cambria Math"/>
          </w:rPr>
          <m:t>F</m:t>
        </m:r>
        <m:sSub>
          <m:sSubPr>
            <m:ctrlPr>
              <w:rPr>
                <w:rFonts w:ascii="Cambria Math" w:hAnsi="Cambria Math"/>
                <w:i/>
              </w:rPr>
            </m:ctrlPr>
          </m:sSubPr>
          <m:e>
            <m:r>
              <w:rPr>
                <w:rFonts w:ascii="Cambria Math" w:hAnsi="Cambria Math"/>
              </w:rPr>
              <m:t>​</m:t>
            </m:r>
          </m:e>
          <m:sub>
            <m:r>
              <w:rPr>
                <w:rFonts w:ascii="Cambria Math" w:hAnsi="Cambria Math"/>
              </w:rPr>
              <m:t>2</m:t>
            </m:r>
          </m:sub>
        </m:sSub>
      </m:oMath>
      <w:r w:rsidRPr="00F34EA8">
        <w:rPr>
          <w:rFonts w:ascii="Aptos" w:hAnsi="Aptos"/>
        </w:rPr>
        <w:t xml:space="preserve"> pressure set by metal-wall recombination and remains close to two orders of magnitude below container limit. A defensible disposal program for chloride fuel therefore requires </w:t>
      </w:r>
      <w:r w:rsidRPr="00F34EA8">
        <w:rPr>
          <w:rFonts w:ascii="Aptos" w:hAnsi="Aptos"/>
          <w:i/>
          <w:iCs/>
        </w:rPr>
        <w:t>either</w:t>
      </w:r>
      <w:r w:rsidRPr="00F34EA8">
        <w:rPr>
          <w:rFonts w:ascii="Aptos" w:hAnsi="Aptos"/>
        </w:rPr>
        <w:t xml:space="preserve"> engineered post-discharge reduction of U(IV) back to U(III) to restore the redox buffer in the disposal matrix, </w:t>
      </w:r>
      <w:r w:rsidRPr="00F34EA8">
        <w:rPr>
          <w:rFonts w:ascii="Aptos" w:hAnsi="Aptos"/>
          <w:i/>
          <w:iCs/>
        </w:rPr>
        <w:t>or</w:t>
      </w:r>
      <w:r w:rsidRPr="00F34EA8">
        <w:rPr>
          <w:rFonts w:ascii="Aptos" w:hAnsi="Aptos"/>
        </w:rPr>
        <w:t xml:space="preserve"> a venting design coupled to a </w:t>
      </w:r>
      <m:oMath>
        <m:r>
          <w:rPr>
            <w:rFonts w:ascii="Cambria Math" w:hAnsi="Cambria Math"/>
          </w:rPr>
          <m:t>Cl</m:t>
        </m:r>
        <m:sSub>
          <m:sSubPr>
            <m:ctrlPr>
              <w:rPr>
                <w:rFonts w:ascii="Cambria Math" w:hAnsi="Cambria Math"/>
                <w:i/>
              </w:rPr>
            </m:ctrlPr>
          </m:sSubPr>
          <m:e>
            <m:r>
              <w:rPr>
                <w:rFonts w:ascii="Cambria Math" w:hAnsi="Cambria Math"/>
              </w:rPr>
              <m:t>​</m:t>
            </m:r>
          </m:e>
          <m:sub>
            <m:r>
              <w:rPr>
                <w:rFonts w:ascii="Cambria Math" w:hAnsi="Cambria Math"/>
              </w:rPr>
              <m:t>2</m:t>
            </m:r>
          </m:sub>
        </m:sSub>
      </m:oMath>
      <w:r w:rsidRPr="00F34EA8">
        <w:rPr>
          <w:rFonts w:ascii="Aptos" w:hAnsi="Aptos"/>
        </w:rPr>
        <w:t xml:space="preserve"> getter, </w:t>
      </w:r>
      <w:r w:rsidRPr="00F34EA8">
        <w:rPr>
          <w:rFonts w:ascii="Aptos" w:hAnsi="Aptos"/>
          <w:i/>
          <w:iCs/>
        </w:rPr>
        <w:t>or</w:t>
      </w:r>
      <w:r w:rsidRPr="00F34EA8">
        <w:rPr>
          <w:rFonts w:ascii="Aptos" w:hAnsi="Aptos"/>
        </w:rPr>
        <w:t xml:space="preserve"> a solidification process that converts the chloride waste form to a stable chemical species (e.g. U-glass or apatite incorporation) before sealing the container.</w:t>
      </w:r>
    </w:p>
    <w:p w14:paraId="4EE30B71" w14:textId="185EEABE" w:rsidR="005F448B" w:rsidRPr="00F34EA8" w:rsidRDefault="00000000">
      <w:pPr>
        <w:numPr>
          <w:ilvl w:val="0"/>
          <w:numId w:val="2"/>
        </w:numPr>
        <w:rPr>
          <w:rFonts w:ascii="Aptos" w:hAnsi="Aptos"/>
        </w:rPr>
      </w:pPr>
      <w:r w:rsidRPr="00F34EA8">
        <w:rPr>
          <w:rFonts w:ascii="Aptos" w:hAnsi="Aptos"/>
          <w:b/>
          <w:bCs/>
        </w:rPr>
        <w:t>The dose-rate cross-over near 150 years matters.</w:t>
      </w:r>
      <w:r w:rsidRPr="00F34EA8">
        <w:rPr>
          <w:rFonts w:ascii="Aptos" w:hAnsi="Aptos"/>
        </w:rPr>
        <w:t xml:space="preserve"> Disposal-program calculations that use only the prompt β/γ dose rate and assume exponential decay to negligible levels will under-predict the α-dominant tail. A geological-repository assessment must propagate the actinide α-radiolysis explicitly for </w:t>
      </w:r>
      <m:oMath>
        <m:sSup>
          <m:sSupPr>
            <m:ctrlPr>
              <w:rPr>
                <w:rFonts w:ascii="Cambria Math" w:hAnsi="Cambria Math"/>
              </w:rPr>
            </m:ctrlPr>
          </m:sSupPr>
          <m:e>
            <m:r>
              <w:rPr>
                <w:rFonts w:ascii="Cambria Math" w:hAnsi="Cambria Math"/>
              </w:rPr>
              <m:t>10</m:t>
            </m:r>
          </m:e>
          <m:sup>
            <m:r>
              <w:rPr>
                <w:rFonts w:ascii="Cambria Math" w:hAnsi="Cambria Math"/>
              </w:rPr>
              <m:t>4</m:t>
            </m:r>
          </m:sup>
        </m:sSup>
      </m:oMath>
      <w:r w:rsidRPr="00F34EA8">
        <w:rPr>
          <w:rFonts w:ascii="Aptos" w:hAnsi="Aptos"/>
        </w:rPr>
        <w:t>-</w:t>
      </w:r>
      <m:oMath>
        <m:sSup>
          <m:sSupPr>
            <m:ctrlPr>
              <w:rPr>
                <w:rFonts w:ascii="Cambria Math" w:hAnsi="Cambria Math"/>
              </w:rPr>
            </m:ctrlPr>
          </m:sSupPr>
          <m:e>
            <m:r>
              <w:rPr>
                <w:rFonts w:ascii="Cambria Math" w:hAnsi="Cambria Math"/>
              </w:rPr>
              <m:t>10</m:t>
            </m:r>
          </m:e>
          <m:sup>
            <m:r>
              <w:rPr>
                <w:rFonts w:ascii="Cambria Math" w:hAnsi="Cambria Math"/>
              </w:rPr>
              <m:t>5</m:t>
            </m:r>
          </m:sup>
        </m:sSup>
      </m:oMath>
      <w:r w:rsidRPr="00F34EA8">
        <w:rPr>
          <w:rFonts w:ascii="Aptos" w:hAnsi="Aptos"/>
        </w:rPr>
        <w:t xml:space="preserve"> years; the </w:t>
      </w:r>
      <m:oMath>
        <m:r>
          <w:rPr>
            <w:rFonts w:ascii="Cambria Math" w:hAnsi="Cambria Math"/>
          </w:rPr>
          <m:t>α/γ</m:t>
        </m:r>
      </m:oMath>
      <w:r w:rsidRPr="00F34EA8">
        <w:rPr>
          <w:rFonts w:ascii="Aptos" w:hAnsi="Aptos"/>
        </w:rPr>
        <w:t xml:space="preserve"> G-value ratio under track-structure radiolysis is the key parameter that current data do not constrain.</w:t>
      </w:r>
    </w:p>
    <w:p w14:paraId="773ADA2B" w14:textId="77777777" w:rsidR="005F448B" w:rsidRPr="00F34EA8" w:rsidRDefault="00000000">
      <w:pPr>
        <w:numPr>
          <w:ilvl w:val="0"/>
          <w:numId w:val="2"/>
        </w:numPr>
        <w:rPr>
          <w:rFonts w:ascii="Aptos" w:hAnsi="Aptos"/>
        </w:rPr>
      </w:pPr>
      <w:r w:rsidRPr="00F34EA8">
        <w:rPr>
          <w:rFonts w:ascii="Aptos" w:hAnsi="Aptos"/>
          <w:b/>
          <w:bCs/>
        </w:rPr>
        <w:t>The calibrated kernel is ready for screening-level disposal predictions.</w:t>
      </w:r>
      <w:r w:rsidRPr="00F34EA8">
        <w:rPr>
          <w:rFonts w:ascii="Aptos" w:hAnsi="Aptos"/>
        </w:rPr>
        <w:t xml:space="preserve"> The HBMAE-calibrated chloride and fluoride kernels recover published Arrhenius parameters within published </w:t>
      </w:r>
      <m:oMath>
        <m:r>
          <w:rPr>
            <w:rFonts w:ascii="Cambria Math" w:hAnsi="Cambria Math"/>
          </w:rPr>
          <m:t>σ</m:t>
        </m:r>
      </m:oMath>
      <w:r w:rsidRPr="00F34EA8">
        <w:rPr>
          <w:rFonts w:ascii="Aptos" w:hAnsi="Aptos"/>
        </w:rPr>
        <w:t xml:space="preserve"> across the operational regime [1, 2], and the Bayesian posterior propagates the disposal-regime predictions with explicit uncertainty. The dominant uncertainty contributors are identified (chain-propagation efficiency </w:t>
      </w:r>
      <m:oMath>
        <m:r>
          <w:rPr>
            <w:rFonts w:ascii="Cambria Math" w:hAnsi="Cambria Math"/>
          </w:rPr>
          <m:t>η</m:t>
        </m:r>
      </m:oMath>
      <w:r w:rsidRPr="00F34EA8">
        <w:rPr>
          <w:rFonts w:ascii="Aptos" w:hAnsi="Aptos"/>
        </w:rPr>
        <w:t xml:space="preserve"> in chloride, the 6</w:t>
      </w:r>
      <m:oMath>
        <m:r>
          <m:rPr>
            <m:sty m:val="p"/>
          </m:rPr>
          <w:rPr>
            <w:rFonts w:ascii="Cambria Math" w:hAnsi="Cambria Math"/>
          </w:rPr>
          <m:t>×</m:t>
        </m:r>
      </m:oMath>
      <w:r w:rsidRPr="00F34EA8">
        <w:rPr>
          <w:rFonts w:ascii="Aptos" w:hAnsi="Aptos"/>
        </w:rPr>
        <w:t>-temperature recombination-Arrhenius extrapolation in fluoride, the LET-correction across the α/γ cross-over) and a prioritized list of confirmation experiments is provided below.</w:t>
      </w:r>
    </w:p>
    <w:p w14:paraId="27D0A7F2" w14:textId="77777777" w:rsidR="005F448B" w:rsidRPr="00F34EA8" w:rsidRDefault="00000000">
      <w:pPr>
        <w:numPr>
          <w:ilvl w:val="0"/>
          <w:numId w:val="2"/>
        </w:numPr>
        <w:rPr>
          <w:rFonts w:ascii="Aptos" w:hAnsi="Aptos"/>
        </w:rPr>
      </w:pPr>
      <w:r w:rsidRPr="00F34EA8">
        <w:rPr>
          <w:rFonts w:ascii="Aptos" w:hAnsi="Aptos"/>
          <w:b/>
          <w:bCs/>
        </w:rPr>
        <w:t>Three confirmation experiments would tighten the disposal predictions by more than an order of magnitude:</w:t>
      </w:r>
      <w:r w:rsidRPr="00F34EA8">
        <w:rPr>
          <w:rFonts w:ascii="Aptos" w:hAnsi="Aptos"/>
        </w:rPr>
        <w:t xml:space="preserve"> (i) a chloride-salt gamma-irradiation at 200 </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rsidRPr="00F34EA8">
        <w:rPr>
          <w:rFonts w:ascii="Aptos" w:hAnsi="Aptos"/>
        </w:rPr>
        <w:t xml:space="preserve">C without a U buffer, to directly measure </w:t>
      </w:r>
      <m:oMath>
        <m:r>
          <w:rPr>
            <w:rFonts w:ascii="Cambria Math" w:hAnsi="Cambria Math"/>
          </w:rPr>
          <m:t>η</m:t>
        </m:r>
      </m:oMath>
      <w:r w:rsidRPr="00F34EA8">
        <w:rPr>
          <w:rFonts w:ascii="Aptos" w:hAnsi="Aptos"/>
        </w:rPr>
        <w:t xml:space="preserve"> in the absence of the redox cycle; (ii) a fluoride-salt recombination-kinetics experiment in the 150-250 </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rsidRPr="00F34EA8">
        <w:rPr>
          <w:rFonts w:ascii="Aptos" w:hAnsi="Aptos"/>
        </w:rPr>
        <w:t>C window, to confirm the Toth-Felker Arrhenius outside its calibration band; and</w:t>
      </w:r>
    </w:p>
    <w:p w14:paraId="0AC7C037" w14:textId="77777777" w:rsidR="005F448B" w:rsidRPr="00F34EA8" w:rsidRDefault="00000000">
      <w:pPr>
        <w:pStyle w:val="Compact"/>
        <w:numPr>
          <w:ilvl w:val="0"/>
          <w:numId w:val="3"/>
        </w:numPr>
        <w:rPr>
          <w:rFonts w:ascii="Aptos" w:hAnsi="Aptos"/>
        </w:rPr>
      </w:pPr>
      <w:r w:rsidRPr="00F34EA8">
        <w:rPr>
          <w:rFonts w:ascii="Aptos" w:hAnsi="Aptos"/>
        </w:rPr>
        <w:lastRenderedPageBreak/>
        <w:t xml:space="preserve">an α-emitter doped salt (Cm-244 spike) at the 100 </w:t>
      </w:r>
      <m:oMath>
        <m:r>
          <w:rPr>
            <w:rFonts w:ascii="Cambria Math" w:hAnsi="Cambria Math"/>
          </w:rPr>
          <m:t>μ</m:t>
        </m:r>
      </m:oMath>
      <w:r w:rsidRPr="00F34EA8">
        <w:rPr>
          <w:rFonts w:ascii="Aptos" w:hAnsi="Aptos"/>
        </w:rPr>
        <w:t>Gy/h level, to provide the first LET-corrected radiolytic G-value in a disposal-relevant matrix. Each can be performed within existing INL hot-cell capability over a 12- to 24-month program.</w:t>
      </w:r>
    </w:p>
    <w:p w14:paraId="3D8B81E0" w14:textId="1B784519" w:rsidR="005F448B" w:rsidRPr="00F34EA8" w:rsidRDefault="00000000">
      <w:pPr>
        <w:pStyle w:val="FirstParagraph"/>
        <w:rPr>
          <w:rFonts w:ascii="Aptos" w:hAnsi="Aptos"/>
        </w:rPr>
      </w:pPr>
      <w:bookmarkStart w:id="11" w:name="open-work"/>
      <w:bookmarkEnd w:id="10"/>
      <w:r w:rsidRPr="00F34EA8">
        <w:rPr>
          <w:rFonts w:ascii="Aptos" w:hAnsi="Aptos"/>
        </w:rPr>
        <w:t>Several extensions are outside the present screening framework and constitute the next stages of the work. The first is the coupling of the gas-phase radiolysis prediction to the container-corrosion chemistry</w:t>
      </w:r>
      <w:r w:rsidR="00B54BE7">
        <w:rPr>
          <w:rFonts w:ascii="Aptos" w:hAnsi="Aptos"/>
        </w:rPr>
        <w:t xml:space="preserve">, </w:t>
      </w:r>
      <m:oMath>
        <m:r>
          <w:rPr>
            <w:rFonts w:ascii="Cambria Math" w:hAnsi="Cambria Math"/>
          </w:rPr>
          <m:t>Cl</m:t>
        </m:r>
        <m:sSub>
          <m:sSubPr>
            <m:ctrlPr>
              <w:rPr>
                <w:rFonts w:ascii="Cambria Math" w:hAnsi="Cambria Math"/>
                <w:i/>
              </w:rPr>
            </m:ctrlPr>
          </m:sSubPr>
          <m:e>
            <m:r>
              <w:rPr>
                <w:rFonts w:ascii="Cambria Math" w:hAnsi="Cambria Math"/>
              </w:rPr>
              <m:t>​</m:t>
            </m:r>
          </m:e>
          <m:sub>
            <m:r>
              <w:rPr>
                <w:rFonts w:ascii="Cambria Math" w:hAnsi="Cambria Math"/>
              </w:rPr>
              <m:t>2</m:t>
            </m:r>
          </m:sub>
        </m:sSub>
      </m:oMath>
      <w:r w:rsidRPr="00F34EA8">
        <w:rPr>
          <w:rFonts w:ascii="Aptos" w:hAnsi="Aptos"/>
        </w:rPr>
        <w:t xml:space="preserve"> does not merely pressurize the container, it also attacks the inner wall through Cl + Fe or Cl + Ni surface reactions whose rates set the cumulative loss of confinement over the disposal timescale. The second is the explicit inclusion of fission-product chemistry in the disposal-phase ODE: Cs, I, Te, Sr, and the lanthanides are redox-active on the disposal-time scale, and their participation in the Cl</w:t>
      </w:r>
      <m:oMath>
        <m:sSub>
          <m:sSubPr>
            <m:ctrlPr>
              <w:rPr>
                <w:rFonts w:ascii="Cambria Math" w:hAnsi="Cambria Math"/>
              </w:rPr>
            </m:ctrlPr>
          </m:sSubPr>
          <m:e>
            <m:r>
              <w:rPr>
                <w:rFonts w:ascii="Cambria Math" w:hAnsi="Cambria Math"/>
              </w:rPr>
              <m:t>​</m:t>
            </m:r>
          </m:e>
          <m:sub>
            <m:r>
              <w:rPr>
                <w:rFonts w:ascii="Cambria Math" w:hAnsi="Cambria Math"/>
              </w:rPr>
              <m:t>2</m:t>
            </m:r>
          </m:sub>
        </m:sSub>
      </m:oMath>
      <w:r w:rsidRPr="00F34EA8">
        <w:rPr>
          <w:rFonts w:ascii="Aptos" w:hAnsi="Aptos"/>
        </w:rPr>
        <w:t>/F</w:t>
      </w:r>
      <m:oMath>
        <m:sSub>
          <m:sSubPr>
            <m:ctrlPr>
              <w:rPr>
                <w:rFonts w:ascii="Cambria Math" w:hAnsi="Cambria Math"/>
              </w:rPr>
            </m:ctrlPr>
          </m:sSubPr>
          <m:e>
            <m:r>
              <w:rPr>
                <w:rFonts w:ascii="Cambria Math" w:hAnsi="Cambria Math"/>
              </w:rPr>
              <m:t>​</m:t>
            </m:r>
          </m:e>
          <m:sub>
            <m:r>
              <w:rPr>
                <w:rFonts w:ascii="Cambria Math" w:hAnsi="Cambria Math"/>
              </w:rPr>
              <m:t>2</m:t>
            </m:r>
          </m:sub>
        </m:sSub>
      </m:oMath>
      <w:r w:rsidRPr="00F34EA8">
        <w:rPr>
          <w:rFonts w:ascii="Aptos" w:hAnsi="Aptos"/>
        </w:rPr>
        <w:t xml:space="preserve"> mass balance is not currently modeled. The third is the validation of the framework against an independent dataset: the present HBMAE calibration uses the entire digitized pulse-radiolysis and chronic-irradiation corpus, so an honest hold-out for disposal-regime prediction requires either a new experiment (per the confirmation experiments listed above) or the digitization of an additional independent legacy dataset, of which the most promising is the Akiyama 1994 LiF-NaF-KF pulse-radiolysis data.</w:t>
      </w:r>
    </w:p>
    <w:p w14:paraId="4662C059" w14:textId="7E92FD0B" w:rsidR="005F448B" w:rsidRPr="00F34EA8" w:rsidRDefault="005F448B">
      <w:pPr>
        <w:pStyle w:val="BodyText"/>
        <w:rPr>
          <w:rFonts w:ascii="Aptos" w:hAnsi="Aptos"/>
        </w:rPr>
      </w:pPr>
      <w:bookmarkStart w:id="12" w:name="references"/>
      <w:bookmarkEnd w:id="0"/>
      <w:bookmarkEnd w:id="11"/>
      <w:bookmarkEnd w:id="12"/>
    </w:p>
    <w:sectPr w:rsidR="005F448B" w:rsidRPr="00F34EA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B002EE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B74C6D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533"/>
    <w:multiLevelType w:val="multilevel"/>
    <w:tmpl w:val="27D6A6FC"/>
    <w:lvl w:ilvl="0">
      <w:start w:val="3"/>
      <w:numFmt w:val="lowerRoman"/>
      <w:lvlText w:val="(%1)"/>
      <w:lvlJc w:val="left"/>
      <w:pPr>
        <w:ind w:left="720" w:hanging="360"/>
      </w:pPr>
    </w:lvl>
    <w:lvl w:ilvl="1">
      <w:start w:val="3"/>
      <w:numFmt w:val="lowerRoman"/>
      <w:lvlText w:val="(%2)"/>
      <w:lvlJc w:val="left"/>
      <w:pPr>
        <w:ind w:left="1440" w:hanging="360"/>
      </w:pPr>
    </w:lvl>
    <w:lvl w:ilvl="2">
      <w:start w:val="3"/>
      <w:numFmt w:val="lowerRoman"/>
      <w:lvlText w:val="(%3)"/>
      <w:lvlJc w:val="left"/>
      <w:pPr>
        <w:ind w:left="2160" w:hanging="360"/>
      </w:pPr>
    </w:lvl>
    <w:lvl w:ilvl="3">
      <w:start w:val="3"/>
      <w:numFmt w:val="lowerRoman"/>
      <w:lvlText w:val="(%4)"/>
      <w:lvlJc w:val="left"/>
      <w:pPr>
        <w:ind w:left="2880" w:hanging="360"/>
      </w:pPr>
    </w:lvl>
    <w:lvl w:ilvl="4">
      <w:start w:val="3"/>
      <w:numFmt w:val="lowerRoman"/>
      <w:lvlText w:val="(%5)"/>
      <w:lvlJc w:val="left"/>
      <w:pPr>
        <w:ind w:left="3600" w:hanging="360"/>
      </w:pPr>
    </w:lvl>
    <w:lvl w:ilvl="5">
      <w:start w:val="3"/>
      <w:numFmt w:val="lowerRoman"/>
      <w:lvlText w:val="(%6)"/>
      <w:lvlJc w:val="left"/>
      <w:pPr>
        <w:ind w:left="4320" w:hanging="360"/>
      </w:pPr>
    </w:lvl>
    <w:lvl w:ilvl="6">
      <w:start w:val="3"/>
      <w:numFmt w:val="lowerRoman"/>
      <w:lvlText w:val="(%7)"/>
      <w:lvlJc w:val="left"/>
      <w:pPr>
        <w:ind w:left="5040" w:hanging="360"/>
      </w:pPr>
    </w:lvl>
    <w:lvl w:ilvl="7">
      <w:start w:val="3"/>
      <w:numFmt w:val="lowerRoman"/>
      <w:lvlText w:val="(%8)"/>
      <w:lvlJc w:val="left"/>
      <w:pPr>
        <w:ind w:left="5760" w:hanging="360"/>
      </w:pPr>
    </w:lvl>
    <w:lvl w:ilvl="8">
      <w:start w:val="3"/>
      <w:numFmt w:val="lowerRoman"/>
      <w:lvlText w:val="(%9)"/>
      <w:lvlJc w:val="left"/>
      <w:pPr>
        <w:ind w:left="6480" w:hanging="360"/>
      </w:pPr>
    </w:lvl>
  </w:abstractNum>
  <w:num w:numId="1" w16cid:durableId="412554097">
    <w:abstractNumId w:val="0"/>
  </w:num>
  <w:num w:numId="2" w16cid:durableId="1444883964">
    <w:abstractNumId w:val="1"/>
  </w:num>
  <w:num w:numId="3" w16cid:durableId="42605024">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F448B"/>
    <w:rsid w:val="005F448B"/>
    <w:rsid w:val="00B54BE7"/>
    <w:rsid w:val="00F30837"/>
    <w:rsid w:val="00F34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DE2CFB"/>
  <w15:docId w15:val="{752961E5-DF28-3D47-9C24-92FC09903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3407B0-60CB-E341-B944-7B6E01154F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6</Pages>
  <Words>1959</Words>
  <Characters>11167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Predicting Radiolytic Gas Generation in Disposed Molten Salt Reactor Fuels</vt:lpstr>
    </vt:vector>
  </TitlesOfParts>
  <Company/>
  <LinksUpToDate>false</LinksUpToDate>
  <CharactersWithSpaces>13100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Radiolytic Gas Generation in Disposed Molten Salt Reactor Fuels</dc:title>
  <dc:creator>Mauricio E. Tanore-Tamales; Idaho National Laboratory, Idaho Falls, ID 83415, USA</dc:creator>
  <cp:keywords/>
  <cp:lastModifiedBy>Mauricio Eduardo Tano Retamales</cp:lastModifiedBy>
  <cp:revision>2</cp:revision>
  <dcterms:created xsi:type="dcterms:W3CDTF">2026-06-09T22:43:00Z</dcterms:created>
  <dcterms:modified xsi:type="dcterms:W3CDTF">2026-06-09T23:11:00Z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2026</vt:lpwstr>
  </property>
  <property fmtid="{D5CDD505-2E9C-101B-9397-08002B2CF9AE}" pid="3" name="fontsize">
    <vt:lpwstr>11pt</vt:lpwstr>
  </property>
  <property fmtid="{D5CDD505-2E9C-101B-9397-08002B2CF9AE}" pid="4" name="geometry">
    <vt:lpwstr>margin=1in</vt:lpwstr>
  </property>
  <property fmtid="{D5CDD505-2E9C-101B-9397-08002B2CF9AE}" pid="5" name="mainfont">
    <vt:lpwstr>Calibri</vt:lpwstr>
  </property>
  <property fmtid="{D5CDD505-2E9C-101B-9397-08002B2CF9AE}" pid="6" name="subtitle">
    <vt:lpwstr>A Calibrated Bayesian Framework for Long-Timescale Container-Safety Assessment</vt:lpwstr>
  </property>
</Properties>
</file>