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棋经十三篇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棋经十三篇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论局篇</w:t>
        </w:r>
      </w:hyperlink>
      <w:r>
        <w:br w:type="textWrapping"/>
      </w:r>
      <w:r>
        <w:t xml:space="preserve">	</w:t>
      </w:r>
      <w:hyperlink w:anchor="header-n151">
        <w:r>
          <w:rPr>
            <w:rStyle w:val="Hyperlink"/>
          </w:rPr>
          <w:t xml:space="preserve">得算篇</w:t>
        </w:r>
      </w:hyperlink>
      <w:r>
        <w:br w:type="textWrapping"/>
      </w:r>
      <w:r>
        <w:t xml:space="preserve">	</w:t>
      </w:r>
      <w:hyperlink w:anchor="header-n155">
        <w:r>
          <w:rPr>
            <w:rStyle w:val="Hyperlink"/>
          </w:rPr>
          <w:t xml:space="preserve">权舆篇</w:t>
        </w:r>
      </w:hyperlink>
      <w:r>
        <w:br w:type="textWrapping"/>
      </w:r>
      <w:r>
        <w:t xml:space="preserve">	</w:t>
      </w:r>
      <w:hyperlink w:anchor="header-n159">
        <w:r>
          <w:rPr>
            <w:rStyle w:val="Hyperlink"/>
          </w:rPr>
          <w:t xml:space="preserve">合战篇</w:t>
        </w:r>
      </w:hyperlink>
      <w:r>
        <w:br w:type="textWrapping"/>
      </w:r>
      <w:r>
        <w:t xml:space="preserve">	</w:t>
      </w:r>
      <w:hyperlink w:anchor="header-n163">
        <w:r>
          <w:rPr>
            <w:rStyle w:val="Hyperlink"/>
          </w:rPr>
          <w:t xml:space="preserve">虚实篇</w:t>
        </w:r>
      </w:hyperlink>
      <w:r>
        <w:br w:type="textWrapping"/>
      </w:r>
      <w:r>
        <w:t xml:space="preserve">	</w:t>
      </w:r>
      <w:hyperlink w:anchor="header-n167">
        <w:r>
          <w:rPr>
            <w:rStyle w:val="Hyperlink"/>
          </w:rPr>
          <w:t xml:space="preserve">自知篇</w:t>
        </w:r>
      </w:hyperlink>
      <w:r>
        <w:br w:type="textWrapping"/>
      </w:r>
      <w:r>
        <w:t xml:space="preserve">	</w:t>
      </w:r>
      <w:hyperlink w:anchor="header-n171">
        <w:r>
          <w:rPr>
            <w:rStyle w:val="Hyperlink"/>
          </w:rPr>
          <w:t xml:space="preserve">审局篇</w:t>
        </w:r>
      </w:hyperlink>
      <w:r>
        <w:br w:type="textWrapping"/>
      </w:r>
      <w:r>
        <w:t xml:space="preserve">	</w:t>
      </w:r>
      <w:hyperlink w:anchor="header-n175">
        <w:r>
          <w:rPr>
            <w:rStyle w:val="Hyperlink"/>
          </w:rPr>
          <w:t xml:space="preserve">度情篇</w:t>
        </w:r>
      </w:hyperlink>
      <w:r>
        <w:br w:type="textWrapping"/>
      </w:r>
      <w:r>
        <w:t xml:space="preserve">	</w:t>
      </w:r>
      <w:hyperlink w:anchor="header-n179">
        <w:r>
          <w:rPr>
            <w:rStyle w:val="Hyperlink"/>
          </w:rPr>
          <w:t xml:space="preserve">斜正篇</w:t>
        </w:r>
      </w:hyperlink>
      <w:r>
        <w:br w:type="textWrapping"/>
      </w:r>
      <w:r>
        <w:t xml:space="preserve">	</w:t>
      </w:r>
      <w:hyperlink w:anchor="header-n183">
        <w:r>
          <w:rPr>
            <w:rStyle w:val="Hyperlink"/>
          </w:rPr>
          <w:t xml:space="preserve">洞微篇</w:t>
        </w:r>
      </w:hyperlink>
      <w:r>
        <w:br w:type="textWrapping"/>
      </w:r>
      <w:r>
        <w:t xml:space="preserve">	</w:t>
      </w:r>
      <w:hyperlink w:anchor="header-n187">
        <w:r>
          <w:rPr>
            <w:rStyle w:val="Hyperlink"/>
          </w:rPr>
          <w:t xml:space="preserve">名数篇</w:t>
        </w:r>
      </w:hyperlink>
      <w:r>
        <w:br w:type="textWrapping"/>
      </w:r>
      <w:r>
        <w:t xml:space="preserve">	</w:t>
      </w:r>
      <w:hyperlink w:anchor="header-n191">
        <w:r>
          <w:rPr>
            <w:rStyle w:val="Hyperlink"/>
          </w:rPr>
          <w:t xml:space="preserve">品格篇</w:t>
        </w:r>
      </w:hyperlink>
      <w:r>
        <w:br w:type="textWrapping"/>
      </w:r>
      <w:r>
        <w:t xml:space="preserve">	</w:t>
      </w:r>
      <w:hyperlink w:anchor="header-n195">
        <w:r>
          <w:rPr>
            <w:rStyle w:val="Hyperlink"/>
          </w:rPr>
          <w:t xml:space="preserve">杂说篇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0"/>
      <w:r>
        <w:t xml:space="preserve">论局篇</w:t>
      </w:r>
      <w:bookmarkEnd w:id="22"/>
    </w:p>
    <w:p>
      <w:pPr>
        <w:pStyle w:val="FirstParagraph"/>
      </w:pPr>
      <w:r>
        <w:t xml:space="preserve"> </w:t>
      </w:r>
      <w:r>
        <w:t xml:space="preserve">夫万物之数，从一而起。局之路，三百六十有一。一者，生数之主，据其极而运四方也。三百六十，以象周天之数。分而为四，以象四时。隅各九十路，以象其日。外周七二路，以象其候。枯棋三百六十，白黑相半，以法阴阳。局之线道，谓之枰。线道之间，谓之罫。局方而静，棋圆而动。自古及今，弈者无同局。《传》曰：“日日新。”故宜用意深而存虑精，以求其胜负之由，则至其所未至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51"/>
      <w:r>
        <w:t xml:space="preserve">得算篇</w:t>
      </w:r>
      <w:bookmarkEnd w:id="23"/>
    </w:p>
    <w:p>
      <w:pPr>
        <w:pStyle w:val="FirstParagraph"/>
      </w:pPr>
      <w:r>
        <w:t xml:space="preserve"> </w:t>
      </w:r>
      <w:r>
        <w:t xml:space="preserve">棋者，以正合其势，以权制其敌。故计定于内而势成于外。战未合而算胜者，得算多也。算不胜者，得算少也。战已合而不知胜负者，无算也。兵法曰﹕“多算胜，少算不胜，而况于无算乎？由此观之，胜负见矣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155"/>
      <w:r>
        <w:t xml:space="preserve">权舆篇</w:t>
      </w:r>
      <w:bookmarkEnd w:id="24"/>
    </w:p>
    <w:p>
      <w:pPr>
        <w:pStyle w:val="FirstParagraph"/>
      </w:pPr>
      <w:r>
        <w:t xml:space="preserve"> </w:t>
      </w:r>
      <w:r>
        <w:t xml:space="preserve">权舆者，弈棋布置，务守纲格。先于四隅分定势子，然后拆二斜飞，下势子一等。立二可以拆三，立三可以拆四，与势子相望可以拆五。近不必比，远不必乖。此皆古人之论，后学之规，舍此改作，未之或知。诗曰﹕“靡不有初，鲜克有终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159"/>
      <w:r>
        <w:t xml:space="preserve">合战篇</w:t>
      </w:r>
      <w:bookmarkEnd w:id="25"/>
    </w:p>
    <w:p>
      <w:pPr>
        <w:pStyle w:val="FirstParagraph"/>
      </w:pPr>
      <w:r>
        <w:t xml:space="preserve"> </w:t>
      </w:r>
      <w:r>
        <w:t xml:space="preserve">博弈之道，贵乎谨严。高者在腹，下者在边，中者占角，此棋家之常然。法曰﹕宁输数子，勿失一先。有先而后，有后而先。击左则视右，攻后则瞻前。两生勿断，皆活勿连。阔不可太疏，密不可太促。与其恋子以求生，不若弃子而取势，与其无事而强行，不若因之而自补。彼众我寡，先谋其生。我众彼寡，务张其势。善胜者不争，善阵者不战。善战者不败，善败者不乱。夫棋始以正合，终以奇胜。必也，四顾其地，牢不可破，方可出人不意，掩人不备。凡敌无事而自补者，有侵袭之意也。弃小而不救者，有图大之心也。随手而下者，无谋之人也。不思而应者，取败之道也。诗云﹕“惴惴小心，如临于谷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163"/>
      <w:r>
        <w:t xml:space="preserve">虚实篇</w:t>
      </w:r>
      <w:bookmarkEnd w:id="26"/>
    </w:p>
    <w:p>
      <w:pPr>
        <w:pStyle w:val="FirstParagraph"/>
      </w:pPr>
      <w:r>
        <w:t xml:space="preserve"> </w:t>
      </w:r>
      <w:r>
        <w:t xml:space="preserve">夫弈棋，绪多则势分，势分则难救。投棋勿逼，逼则使彼实而我虚。虚则易攻，实则难破。临时变通，宜勿执一。《传》曰﹕“见可而进，知难而退。”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167"/>
      <w:r>
        <w:t xml:space="preserve">自知篇</w:t>
      </w:r>
      <w:bookmarkEnd w:id="27"/>
    </w:p>
    <w:p>
      <w:pPr>
        <w:pStyle w:val="FirstParagraph"/>
      </w:pPr>
      <w:r>
        <w:t xml:space="preserve"> </w:t>
      </w:r>
      <w:r>
        <w:t xml:space="preserve">夫智者见于未萌，愚者暗于成事。故知己之害而图彼之利者，胜。知可以战不可以战者，胜。识众寡之用者，胜。以虞待不虞者，胜。以逸待劳者，胜。不战而屈人者，胜。《老子》曰﹕“自知者明。”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171"/>
      <w:r>
        <w:t xml:space="preserve">审局篇</w:t>
      </w:r>
      <w:bookmarkEnd w:id="28"/>
    </w:p>
    <w:p>
      <w:pPr>
        <w:pStyle w:val="FirstParagraph"/>
      </w:pPr>
      <w:r>
        <w:t xml:space="preserve"> </w:t>
      </w:r>
      <w:r>
        <w:t xml:space="preserve">夫弈棋布势，务相接连。自始至终，着着求先。临局离争，雌雄未决，毫厘不可以差焉。局势已赢，专精求生。局势已弱，锐意侵绰。沿边而走，虽得其生者，败。弱而不伏者，愈屈。躁而求胜者，多败。两势相违，先蹙其外。势孤援寡，则勿走。机危阵溃，则勿下。是故棋有不走之走，不下之下。误人者多方，成功者一路而已。能审局者多胜。《易》曰﹕“穷则变，变则通，通则久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175"/>
      <w:r>
        <w:t xml:space="preserve">度情篇</w:t>
      </w:r>
      <w:bookmarkEnd w:id="29"/>
    </w:p>
    <w:p>
      <w:pPr>
        <w:pStyle w:val="FirstParagraph"/>
      </w:pPr>
      <w:r>
        <w:t xml:space="preserve"> </w:t>
      </w:r>
      <w:r>
        <w:t xml:space="preserve">人生而静，其情难见；感物而动，然后可辨。推之于棋，胜败可得而先验。持重而廉者多得，轻易而贪者多丧。不争而自保者多胜，务杀而不顾者多败。因败而思者，其势进；战胜而骄者，其势退。求己弊不求人之弊者，益；攻其敌而不知敌之攻己者，损。目凝一局者，其思周；心役他事者，其虑散。行远而正者吉，机浅而诈者凶。能畏敌者强，谓人莫己若者亡。意旁通者高，心执一者卑。语默有常，使敌难量。动静无度，招人所恶。《诗》云﹕“他人之心，予时度之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179"/>
      <w:r>
        <w:t xml:space="preserve">斜正篇</w:t>
      </w:r>
      <w:bookmarkEnd w:id="30"/>
    </w:p>
    <w:p>
      <w:pPr>
        <w:pStyle w:val="FirstParagraph"/>
      </w:pPr>
      <w:r>
        <w:t xml:space="preserve"> </w:t>
      </w:r>
      <w:r>
        <w:t xml:space="preserve">或曰﹕“棋以变诈为务，劫杀为名，岂非诡道耶？”予曰﹕“不然。”《易》云﹕“师出以律，否藏凶。”兵本不尚诈，谋言诡行者，乃战国纵横之说。棋虽小道，实与兵合。故棋之品甚繁，而弈之者不一。得品之下者，举无思虑，动则变诈。或用手以影其势，或发言以泄其机。得品之上者，则异于是。皆沉思而远虑，因形而用权。神游局内，意在子先。图胜于无朕，灭行于未然。岂假言辞喋喋，手势翩翩者哉？《传》曰﹕“正而不谲。”其是之谓欤？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183"/>
      <w:r>
        <w:t xml:space="preserve">洞微篇</w:t>
      </w:r>
      <w:bookmarkEnd w:id="31"/>
    </w:p>
    <w:p>
      <w:pPr>
        <w:pStyle w:val="FirstParagraph"/>
      </w:pPr>
      <w:r>
        <w:t xml:space="preserve"> </w:t>
      </w:r>
      <w:r>
        <w:t xml:space="preserve">凡棋有益之而损者，有损之而益者。有侵而利者，有侵而害者。有宜左投者，有宜右投者。有先著者，有后著者。有紧避者，有慢行者。粘子勿前，弃子思后。有始近而终远者，有始少而终多者。欲强外先攻内，欲实东先击西。路虚而无眼，则先觑。无害于他棋，则做劫。饶路则宜疏，受路则勿战。择地而侵，无碍而进。此皆棋家之幽微也，不可不知也。《易》曰﹕“非天下之至精，其孰能与于此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187"/>
      <w:r>
        <w:t xml:space="preserve">名数篇</w:t>
      </w:r>
      <w:bookmarkEnd w:id="32"/>
    </w:p>
    <w:p>
      <w:pPr>
        <w:pStyle w:val="FirstParagraph"/>
      </w:pPr>
      <w:r>
        <w:t xml:space="preserve"> </w:t>
      </w:r>
      <w:r>
        <w:t xml:space="preserve">夫弈棋者，凡下一子，皆有定名。棋之形势、死生、存亡，因名而可见。有冲，有斡，有绰，有约，有飞，有关，有札，有粘，有顶，有尖，有觑，有门，有打，有断，有行，有捺，有立，有点，有聚，有跷，有夹，有拶，有避，有刺，有勒，有扑，有征，有劫，有持，有杀，有松，有盘。围棋之名，三十有二，围棋之人，意在可周。临局变化，远近纵横，吾不得而知也。用幸取胜，难逃此名。《传》曰﹕“必也，正名乎棋！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191"/>
      <w:r>
        <w:t xml:space="preserve">品格篇</w:t>
      </w:r>
      <w:bookmarkEnd w:id="33"/>
    </w:p>
    <w:p>
      <w:pPr>
        <w:pStyle w:val="FirstParagraph"/>
      </w:pPr>
      <w:r>
        <w:t xml:space="preserve"> </w:t>
      </w:r>
      <w:r>
        <w:t xml:space="preserve">夫围棋之品有九。一曰入神，二曰坐照，三曰具体，四曰通幽，五曰用智，六曰小巧，七曰斗力，八曰若愚，九曰守拙。九品之外不可胜计，未能入格，今不复云。《传》曰﹕“生而知之者，上也；学而知之者，次也；困而学之又其次也。”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195"/>
      <w:r>
        <w:t xml:space="preserve">杂说篇</w:t>
      </w:r>
      <w:bookmarkEnd w:id="34"/>
    </w:p>
    <w:p>
      <w:pPr>
        <w:pStyle w:val="FirstParagraph"/>
      </w:pPr>
      <w:r>
        <w:t xml:space="preserve"> </w:t>
      </w:r>
      <w:r>
        <w:t xml:space="preserve">夫棋边不如角，角不如腹。约轻于捺，捺轻于避。夹有虚实，打有情伪。逢绰多约，遇拶多粘。大眼可赢小眼，斜行不如正行。两关对直则先觑，前途有碍则勿征。施行未成，不可先动。角盘曲四，局终乃亡。直四扳六，皆是活棋，花聚透点，多无生路。十字不可先纽，势子在心，勿打角图。弈不欲数，数则怠，怠则不精。弈不欲疏，疏则忘，忘则多失。胜不言，败不语。振廉让之风者，君子也；起忿怒之色者，小人也。高者无亢，卑者无怯。气和而韵舒者，喜其将胜也。心动而色变者，忧其将败也。赧莫赧于易，耻莫耻于盗。妙莫妙于用松，昏莫昏于复劫。凡棋直行三则改，方聚四则非。胜而路多，名曰赢局；败而无路，名曰输筹。皆筹为溢，停路为芇。打筹不得过三，淘子不限其数。劫有金井、辘轳，有无休之势，有交递之图。弈棋者不可不知也。凡棋有敌手，有半先，有先两，有桃花五，有北斗七。夫棋者有无之相生，远近之相成，强弱之相形，利害之相倾，不可不察也。是以安而不泰，存而不骄。安而泰则危，存而骄则亡。《易》曰﹕“君子安而不忘危，存而不忘亡。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2019-03-09T15:27:05Z</dcterms:created>
  <dcterms:modified xsi:type="dcterms:W3CDTF">2019-03-09T15:27:05Z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