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Experiment Report</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Agent Page</w:t>
      </w:r>
    </w:p>
    <w:p w14:paraId="00000008">
      <w:pPr>
        <w:pStyle w:val="Title"/>
        <w:rPr>
          <w:rFonts w:ascii="Georgia" w:cs="Georgia" w:eastAsia="Georgia" w:hAnsi="Georgia"/>
          <w:color w:val="1a703a"/>
        </w:rPr>
      </w:pPr>
      <w:r>
        <w:rPr>
          <w:rFonts w:ascii="Georgia" w:cs="Georgia" w:eastAsia="Georgia" w:hAnsi="Georgia"/>
          <w:color w:val="1a703a"/>
          <w:rtl w:val="0"/>
        </w:rPr>
        <w:t>Experiment Analysis</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Codex</w:t>
      </w:r>
    </w:p>
    <w:p w14:paraId="00000019">
      <w:pPr>
        <w:pStyle w:val="Heading3"/>
        <w:rPr>
          <w:color w:val="000000"/>
        </w:rPr>
      </w:pPr>
      <w:bookmarkStart w:colFirst="0" w:colLast="0" w:name="_heading=h.io4lnv62zpnv" w:id="6"/>
      <w:bookmarkEnd w:id="6"/>
      <w:r>
        <w:rPr>
          <w:color w:val="000000"/>
          <w:rtl w:val="0"/>
        </w:rPr>
        <w:t>October 12,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Pr>
      <w:r>
        <w:rPr>
          <w:rtl w:val="0"/>
        </w:rPr>
        <w:t xml:space="preserve">Document Control</w:t>
      </w:r>
    </w:p>
    <w:p w14:paraId="0000001C">
      <w:pPr>
        <w:rPr/>
      </w:pPr>
      <w:r>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vAlign w:val="center"/>
          </w:tcPr>
          <w:p w14:paraId="0000001D">
            <w:pPr>
              <w:rPr>
                <w:rFonts w:ascii="Georgia" w:cs="Georgia" w:eastAsia="Georgia" w:hAnsi="Georgia"/>
                <w:b w:val="1"/>
                <w:bCs w:val="1"/>
                <w:sz w:val="20"/>
                <w:szCs w:val="20"/>
              </w:rPr>
            </w:pPr>
            <w:r>
              <w:rPr>
                <w:rFonts w:ascii="Georgia" w:cs="Georgia" w:eastAsia="Georgia" w:hAnsi="Georgia"/>
                <w:b w:val="1"/>
                <w:bCs w:val="1"/>
                <w:sz w:val="20"/>
                <w:szCs w:val="20"/>
                <w:rtl w:val="0"/>
              </w:rPr>
              <w:t>Version</w:t>
            </w:r>
          </w:p>
        </w:tc>
        <w:tc>
          <w:tcPr>
            <w:vAlign w:val="center"/>
          </w:tcPr>
          <w:p w14:paraId="0000001E">
            <w:pPr>
              <w:rPr>
                <w:rFonts w:ascii="Georgia" w:cs="Georgia" w:eastAsia="Georgia" w:hAnsi="Georgia"/>
                <w:sz w:val="20"/>
                <w:szCs w:val="20"/>
              </w:rPr>
            </w:pPr>
            <w:r>
              <w:rPr>
                <w:rFonts w:ascii="Georgia" w:cs="Georgia" w:eastAsia="Georgia" w:hAnsi="Georgia"/>
                <w:sz w:val="20"/>
                <w:szCs w:val="20"/>
                <w:rtl w:val="0"/>
              </w:rPr>
              <w:t>1.0</w:t>
            </w:r>
          </w:p>
        </w:tc>
      </w:tr>
      <w:tr>
        <w:trPr>
          <w:cantSplit w:val="0"/>
          <w:trHeight w:val="431.99999999999994" w:hRule="atLeast"/>
          <w:tblHeader w:val="0"/>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Prepared By</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Codex · Impeccable review</w:t>
            </w:r>
          </w:p>
        </w:tc>
      </w:tr>
      <w:tr>
        <w:trPr>
          <w:cantSplit w:val="0"/>
          <w:trHeight w:val="431.99999999999994" w:hRule="atLeast"/>
          <w:tblHeader w:val="0"/>
        </w:trPr>
        <w:tc>
          <w:tcPr>
            <w:vAlign w:val="center"/>
          </w:tcPr>
          <w:p w14:paraId="00000021">
            <w:pPr>
              <w:rPr>
                <w:rFonts w:ascii="Georgia" w:cs="Georgia" w:eastAsia="Georgia" w:hAnsi="Georgia"/>
                <w:b w:val="1"/>
                <w:bCs w:val="1"/>
                <w:sz w:val="20"/>
                <w:szCs w:val="20"/>
              </w:rPr>
            </w:pPr>
            <w:r>
              <w:rPr>
                <w:rFonts w:ascii="Georgia" w:cs="Georgia" w:eastAsia="Georgia" w:hAnsi="Georgia"/>
                <w:b w:val="1"/>
                <w:bCs w:val="1"/>
                <w:sz w:val="20"/>
                <w:szCs w:val="20"/>
                <w:rtl w:val="0"/>
              </w:rPr>
              <w:t>Reviewers</w:t>
            </w:r>
          </w:p>
        </w:tc>
        <w:tc>
          <w:tcPr>
            <w:vAlign w:val="center"/>
          </w:tcPr>
          <w:p w14:paraId="00000022">
            <w:pPr>
              <w:rPr>
                <w:rFonts w:ascii="Georgia" w:cs="Georgia" w:eastAsia="Georgia" w:hAnsi="Georgia"/>
                <w:sz w:val="20"/>
                <w:szCs w:val="20"/>
              </w:rPr>
            </w:pPr>
            <w:r>
              <w:rPr>
                <w:rFonts w:ascii="Georgia" w:cs="Georgia" w:eastAsia="Georgia" w:hAnsi="Georgia"/>
                <w:sz w:val="20"/>
                <w:szCs w:val="20"/>
                <w:rtl w:val="0"/>
              </w:rPr>
              <w:t>MIAO product and design</w:t>
            </w:r>
          </w:p>
        </w:tc>
      </w:tr>
      <w:tr>
        <w:trPr>
          <w:cantSplit w:val="0"/>
          <w:trHeight w:val="431.99999999999994" w:hRule="atLeast"/>
          <w:tblHeader w:val="0"/>
        </w:trPr>
        <w:tc>
          <w:tcPr>
            <w:vAlign w:val="center"/>
          </w:tcPr>
          <w:p w14:paraId="00000023">
            <w:pPr>
              <w:rPr>
                <w:rFonts w:ascii="Georgia" w:cs="Georgia" w:eastAsia="Georgia" w:hAnsi="Georgia"/>
                <w:b w:val="1"/>
                <w:bCs w:val="1"/>
                <w:sz w:val="20"/>
                <w:szCs w:val="20"/>
              </w:rPr>
            </w:pPr>
            <w:r>
              <w:rPr>
                <w:rFonts w:ascii="Georgia" w:cs="Georgia" w:eastAsia="Georgia" w:hAnsi="Georgia"/>
                <w:b w:val="1"/>
                <w:bCs w:val="1"/>
                <w:sz w:val="20"/>
                <w:szCs w:val="20"/>
                <w:rtl w:val="0"/>
              </w:rPr>
              <w:t>Date Prepared</w:t>
            </w:r>
          </w:p>
        </w:tc>
        <w:tc>
          <w:tcPr>
            <w:vAlign w:val="center"/>
          </w:tcPr>
          <w:p w14:paraId="00000024">
            <w:pPr>
              <w:rPr>
                <w:rFonts w:ascii="Georgia" w:cs="Georgia" w:eastAsia="Georgia" w:hAnsi="Georgia"/>
                <w:sz w:val="20"/>
                <w:szCs w:val="20"/>
              </w:rPr>
            </w:pPr>
            <w:r>
              <w:rPr>
                <w:rFonts w:ascii="Georgia" w:cs="Georgia" w:eastAsia="Georgia" w:hAnsi="Georgia"/>
                <w:sz w:val="20"/>
                <w:szCs w:val="20"/>
                <w:rtl w:val="0"/>
              </w:rPr>
              <w:t>October 12, 2026</w:t>
            </w:r>
          </w:p>
        </w:tc>
      </w:tr>
      <w:tr>
        <w:trPr>
          <w:cantSplit w:val="0"/>
          <w:trHeight w:val="431.99999999999994" w:hRule="atLeast"/>
          <w:tblHeader w:val="0"/>
        </w:trPr>
        <w:tc>
          <w:tcPr>
            <w:vAlign w:val="center"/>
          </w:tcPr>
          <w:p w14:paraId="00000025">
            <w:pPr>
              <w:rPr>
                <w:rFonts w:ascii="Georgia" w:cs="Georgia" w:eastAsia="Georgia" w:hAnsi="Georgia"/>
                <w:b w:val="1"/>
                <w:bCs w:val="1"/>
                <w:sz w:val="20"/>
                <w:szCs w:val="20"/>
              </w:rPr>
            </w:pPr>
            <w:r>
              <w:rPr>
                <w:rFonts w:ascii="Georgia" w:cs="Georgia" w:eastAsia="Georgia" w:hAnsi="Georgia"/>
                <w:b w:val="1"/>
                <w:bCs w:val="1"/>
                <w:sz w:val="20"/>
                <w:szCs w:val="20"/>
                <w:rtl w:val="0"/>
              </w:rPr>
              <w:t>Reporting Window</w:t>
            </w:r>
          </w:p>
        </w:tc>
        <w:tc>
          <w:tcPr>
            <w:vAlign w:val="center"/>
          </w:tcPr>
          <w:p w14:paraId="00000026">
            <w:pPr>
              <w:rPr>
                <w:rFonts w:ascii="Georgia" w:cs="Georgia" w:eastAsia="Georgia" w:hAnsi="Georgia"/>
                <w:sz w:val="20"/>
                <w:szCs w:val="20"/>
              </w:rPr>
            </w:pPr>
            <w:r>
              <w:rPr>
                <w:rFonts w:ascii="Georgia" w:cs="Georgia" w:eastAsia="Georgia" w:hAnsi="Georgia"/>
                <w:sz w:val="20"/>
                <w:szCs w:val="20"/>
                <w:rtl w:val="0"/>
              </w:rPr>
              <w:t>Baseline review: October 12, 2026</w:t>
            </w:r>
          </w:p>
        </w:tc>
      </w:tr>
      <w:tr>
        <w:trPr>
          <w:cantSplit w:val="0"/>
          <w:trHeight w:val="431.99999999999994" w:hRule="atLeast"/>
          <w:tblHeader w:val="0"/>
        </w:trPr>
        <w:tc>
          <w:tcPr>
            <w:vAlign w:val="center"/>
          </w:tcPr>
          <w:p w14:paraId="00000027">
            <w:pPr>
              <w:rPr>
                <w:rFonts w:ascii="Georgia" w:cs="Georgia" w:eastAsia="Georgia" w:hAnsi="Georgia"/>
                <w:b w:val="1"/>
                <w:bCs w:val="1"/>
                <w:sz w:val="20"/>
                <w:szCs w:val="20"/>
              </w:rPr>
            </w:pPr>
            <w:r>
              <w:rPr>
                <w:rFonts w:ascii="Georgia" w:cs="Georgia" w:eastAsia="Georgia" w:hAnsi="Georgia"/>
                <w:b w:val="1"/>
                <w:bCs w:val="1"/>
                <w:sz w:val="20"/>
                <w:szCs w:val="20"/>
                <w:rtl w:val="0"/>
              </w:rPr>
              <w:t>Status</w:t>
            </w:r>
          </w:p>
        </w:tc>
        <w:tc>
          <w:tcPr>
            <w:vAlign w:val="center"/>
          </w:tcPr>
          <w:p w14:paraId="00000028">
            <w:pPr>
              <w:rPr>
                <w:rFonts w:ascii="Georgia" w:cs="Georgia" w:eastAsia="Georgia" w:hAnsi="Georgia"/>
                <w:sz w:val="20"/>
                <w:szCs w:val="20"/>
              </w:rPr>
            </w:pPr>
            <w:r>
              <w:rPr>
                <w:rFonts w:ascii="Georgia" w:cs="Georgia" w:eastAsia="Georgia" w:hAnsi="Georgia"/>
                <w:sz w:val="20"/>
                <w:szCs w:val="20"/>
                <w:rtl w:val="0"/>
              </w:rPr>
              <w:t>Baseline / proposed experiment</w:t>
            </w:r>
          </w:p>
        </w:tc>
      </w:tr>
    </w:tbl>
    <w:p w14:paraId="00000029">
      <w:pPr>
        <w:rPr>
          <w:rFonts w:ascii="Georgia" w:cs="Georgia" w:eastAsia="Georgia" w:hAnsi="Georgia"/>
        </w:rPr>
      </w:pPr>
      <w:r>
        <w:rPr>
          <w:rtl w:val="0"/>
        </w:rPr>
      </w:r>
    </w:p>
    <w:p w14:paraId="0000002A">
      <w:pPr>
        <w:pStyle w:val="Heading1"/>
        <w:rPr/>
      </w:pPr>
      <w:r>
        <w:rPr>
          <w:rtl w:val="0"/>
        </w:rPr>
        <w:t xml:space="preserve">Purpose</w:t>
      </w:r>
    </w:p>
    <w:p w14:paraId="0000002B">
      <w:pPr>
        <w:spacing w:after="240" w:before="240" w:lineRule="auto"/>
        <w:jc w:val="both"/>
        <w:rPr>
          <w:rFonts w:ascii="Georgia" w:cs="Georgia" w:eastAsia="Georgia" w:hAnsi="Georgia"/>
        </w:rPr>
      </w:pPr>
      <w:r>
        <w:rPr>
          <w:rFonts w:ascii="Georgia" w:cs="Georgia" w:eastAsia="Georgia" w:hAnsi="Georgia"/>
          <w:rtl w:val="0"/>
        </w:rPr>
        <w:t>This document records a qualitative baseline review and a proposed conversion experiment for the public MIAO Agent page at https://www.miao.my/product/agents/. It covers the page promise, boundary explanation, next-step path, and the evidence needed before any treatment is shipped.</w:t>
      </w:r>
    </w:p>
    <w:p w14:paraId="0000002C">
      <w:pPr>
        <w:spacing w:after="240" w:lineRule="auto"/>
        <w:jc w:val="both"/>
        <w:rPr>
          <w:rFonts w:ascii="Georgia" w:cs="Georgia" w:eastAsia="Georgia" w:hAnsi="Georgia"/>
        </w:rPr>
      </w:pPr>
      <w:r>
        <w:rPr>
          <w:rFonts w:ascii="Georgia" w:cs="Georgia" w:eastAsia="Georgia" w:hAnsi="Georgia"/>
          <w:rtl w:val="0"/>
        </w:rPr>
        <w:t>The record is for product, design, and engineering review. No controlled traffic experiment has run, so the document separates observed page evidence from proposed metrics and decisions. It is intended to support a reproducible follow-up once instrumentation and approval exist.</w:t>
      </w:r>
    </w:p>
    <w:p w14:paraId="0000002D">
      <w:pPr>
        <w:spacing w:after="240" w:lineRule="auto"/>
        <w:jc w:val="both"/>
        <w:rPr>
          <w:rFonts w:ascii="Georgia" w:cs="Georgia" w:eastAsia="Georgia" w:hAnsi="Georgia"/>
        </w:rPr>
      </w:pPr>
      <w:r>
        <w:rPr>
          <w:rtl w:val="0"/>
        </w:rPr>
      </w:r>
    </w:p>
    <w:p w14:paraId="0000002E">
      <w:pPr>
        <w:pStyle w:val="Heading1"/>
        <w:rPr>
          <w:rFonts w:ascii="Georgia" w:cs="Georgia" w:eastAsia="Georgia" w:hAnsi="Georgia"/>
        </w:rPr>
      </w:pPr>
      <w:r>
        <w:rPr>
          <w:rFonts w:ascii="Georgia" w:cs="Georgia" w:eastAsia="Georgia" w:hAnsi="Georgia"/>
          <w:rtl w:val="0"/>
        </w:rPr>
        <w:t xml:space="preserve">Business Context</w:t>
      </w:r>
    </w:p>
    <w:p w14:paraId="0000002F">
      <w:pPr>
        <w:spacing w:after="240" w:before="240" w:lineRule="auto"/>
        <w:jc w:val="both"/>
        <w:rPr>
          <w:rFonts w:ascii="Georgia" w:cs="Georgia" w:eastAsia="Georgia" w:hAnsi="Georgia"/>
        </w:rPr>
      </w:pPr>
      <w:r>
        <w:rPr>
          <w:rFonts w:ascii="Georgia" w:cs="Georgia" w:eastAsia="Georgia" w:hAnsi="Georgia"/>
          <w:rtl w:val="0"/>
        </w:rPr>
        <w:t>MIAO presents an Agent as a server-side, permission-bound collaborator. The page explains a six-step run chain, three work scenarios, readable and executable scopes, confirmation and cancellation rules, a sample receipt, and model-offline behavior. The opportunity is to make the first next action as explicit as the boundary itself.</w:t>
      </w:r>
    </w:p>
    <w:p w14:paraId="00000030">
      <w:pPr>
        <w:spacing w:after="240" w:before="240" w:lineRule="auto"/>
        <w:jc w:val="both"/>
        <w:rPr>
          <w:rFonts w:ascii="Georgia" w:cs="Georgia" w:eastAsia="Georgia" w:hAnsi="Georgia"/>
        </w:rPr>
      </w:pPr>
      <w:r>
        <w:rPr>
          <w:rFonts w:ascii="Georgia" w:cs="Georgia" w:eastAsia="Georgia" w:hAnsi="Georgia"/>
          <w:rtl w:val="0"/>
        </w:rPr>
        <w:t>This surface was selected because it is already a focused product explanation with honest illustrative labels and links to documentation, source, and the English version. A single CTA and clearer route into documentation are reversible changes. No product claims, customer proof, or production adoption data were added.</w:t>
      </w:r>
    </w:p>
    <w:p w14:paraId="00000031">
      <w:pPr>
        <w:pStyle w:val="Heading1"/>
        <w:rPr>
          <w:rFonts w:ascii="Georgia" w:cs="Georgia" w:eastAsia="Georgia" w:hAnsi="Georgia"/>
        </w:rPr>
      </w:pPr>
      <w:r>
        <w:rPr>
          <w:rFonts w:ascii="Georgia" w:cs="Georgia" w:eastAsia="Georgia" w:hAnsi="Georgia"/>
          <w:rtl w:val="0"/>
        </w:rPr>
        <w:t xml:space="preserve">Experiment Summary</w:t>
      </w:r>
    </w:p>
    <w:p w14:paraId="00000032">
      <w:pPr>
        <w:rPr>
          <w:rFonts w:ascii="Georgia" w:cs="Georgia" w:eastAsia="Georgia" w:hAnsi="Georgia"/>
        </w:rPr>
      </w:pPr>
      <w:r>
        <w:rPr>
          <w:rtl w:val="0"/>
        </w:rPr>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Change w:id="0">
          <w:tblGrid>
            <w:gridCol w:w="2547"/>
            <w:gridCol w:w="6803"/>
          </w:tblGrid>
        </w:tblGridChange>
      </w:tblGrid>
      <w:tr>
        <w:trPr>
          <w:cantSplit w:val="0"/>
          <w:trHeight w:val="431.99999999999994" w:hRule="atLeast"/>
          <w:tblHeader w:val="0"/>
        </w:trPr>
        <w:tc>
          <w:tcPr>
            <w:shd w:fill="f3f3f3" w:val="clear"/>
            <w:vAlign w:val="center"/>
          </w:tcPr>
          <w:p w14:paraId="0000003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Field</w:t>
            </w:r>
          </w:p>
        </w:tc>
        <w:tc>
          <w:tcPr>
            <w:shd w:fill="f3f3f3" w:val="clear"/>
            <w:vAlign w:val="center"/>
          </w:tcPr>
          <w:p w14:paraId="0000003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Details</w:t>
            </w:r>
          </w:p>
        </w:tc>
      </w:tr>
      <w:tr>
        <w:trPr>
          <w:cantSplit w:val="0"/>
          <w:trHeight w:val="431.99999999999994" w:hRule="atLeast"/>
          <w:tblHeader w:val="0"/>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Experiment Name</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Agent page clarity and next step experiment</w:t>
            </w:r>
          </w:p>
        </w:tc>
      </w:tr>
      <w:tr>
        <w:trPr>
          <w:cantSplit w:val="0"/>
          <w:trHeight w:val="431.99999999999994" w:hRule="atLeast"/>
          <w:tblHeader w:val="0"/>
        </w:trPr>
        <w:tc>
          <w:tcPr>
            <w:vAlign w:val="center"/>
          </w:tcPr>
          <w:p w14:paraId="00000037">
            <w:pPr>
              <w:rPr>
                <w:rFonts w:ascii="Georgia" w:cs="Georgia" w:eastAsia="Georgia" w:hAnsi="Georgia"/>
                <w:b w:val="1"/>
                <w:bCs w:val="1"/>
                <w:sz w:val="20"/>
                <w:szCs w:val="20"/>
              </w:rPr>
            </w:pPr>
            <w:r>
              <w:rPr>
                <w:rFonts w:ascii="Georgia" w:cs="Georgia" w:eastAsia="Georgia" w:hAnsi="Georgia"/>
                <w:b w:val="1"/>
                <w:bCs w:val="1"/>
                <w:sz w:val="20"/>
                <w:szCs w:val="20"/>
                <w:rtl w:val="0"/>
              </w:rPr>
              <w:t>Experiment Key</w:t>
            </w:r>
          </w:p>
        </w:tc>
        <w:tc>
          <w:tcPr>
            <w:vAlign w:val="center"/>
          </w:tcPr>
          <w:p w14:paraId="00000038">
            <w:pPr>
              <w:rPr>
                <w:rFonts w:ascii="Georgia" w:cs="Georgia" w:eastAsia="Georgia" w:hAnsi="Georgia"/>
                <w:sz w:val="20"/>
                <w:szCs w:val="20"/>
              </w:rPr>
            </w:pPr>
            <w:r>
              <w:rPr>
                <w:rFonts w:ascii="Georgia" w:cs="Georgia" w:eastAsia="Georgia" w:hAnsi="Georgia"/>
                <w:sz w:val="20"/>
                <w:szCs w:val="20"/>
                <w:rtl w:val="0"/>
              </w:rPr>
              <w:t>miao-agent-page-clarity-v1</w:t>
            </w:r>
          </w:p>
        </w:tc>
      </w:tr>
      <w:tr>
        <w:trPr>
          <w:cantSplit w:val="0"/>
          <w:trHeight w:val="431.99999999999994" w:hRule="atLeast"/>
          <w:tblHeader w:val="0"/>
        </w:trPr>
        <w:tc>
          <w:tcPr>
            <w:vAlign w:val="center"/>
          </w:tcPr>
          <w:p w14:paraId="00000039">
            <w:pPr>
              <w:rPr>
                <w:rFonts w:ascii="Georgia" w:cs="Georgia" w:eastAsia="Georgia" w:hAnsi="Georgia"/>
                <w:b w:val="1"/>
                <w:bCs w:val="1"/>
                <w:sz w:val="20"/>
                <w:szCs w:val="20"/>
              </w:rPr>
            </w:pPr>
            <w:r>
              <w:rPr>
                <w:rFonts w:ascii="Georgia" w:cs="Georgia" w:eastAsia="Georgia" w:hAnsi="Georgia"/>
                <w:b w:val="1"/>
                <w:bCs w:val="1"/>
                <w:sz w:val="20"/>
                <w:szCs w:val="20"/>
                <w:rtl w:val="0"/>
              </w:rPr>
              <w:t>Owner Team</w:t>
            </w:r>
          </w:p>
        </w:tc>
        <w:tc>
          <w:tcPr>
            <w:vAlign w:val="center"/>
          </w:tcPr>
          <w:p w14:paraId="0000003A">
            <w:pPr>
              <w:rPr>
                <w:rFonts w:ascii="Georgia" w:cs="Georgia" w:eastAsia="Georgia" w:hAnsi="Georgia"/>
                <w:sz w:val="20"/>
                <w:szCs w:val="20"/>
              </w:rPr>
            </w:pPr>
            <w:r>
              <w:rPr>
                <w:rFonts w:ascii="Georgia" w:cs="Georgia" w:eastAsia="Georgia" w:hAnsi="Georgia"/>
                <w:sz w:val="20"/>
                <w:szCs w:val="20"/>
                <w:rtl w:val="0"/>
              </w:rPr>
              <w:t>MIAO product and design</w:t>
            </w:r>
          </w:p>
        </w:tc>
      </w:tr>
      <w:tr>
        <w:trPr>
          <w:cantSplit w:val="0"/>
          <w:trHeight w:val="431.99999999999994" w:hRule="atLeast"/>
          <w:tblHeader w:val="0"/>
        </w:trPr>
        <w:tc>
          <w:tcPr>
            <w:vAlign w:val="center"/>
          </w:tcPr>
          <w:p w14:paraId="0000003B">
            <w:pPr>
              <w:rPr>
                <w:rFonts w:ascii="Georgia" w:cs="Georgia" w:eastAsia="Georgia" w:hAnsi="Georgia"/>
                <w:b w:val="1"/>
                <w:bCs w:val="1"/>
                <w:sz w:val="20"/>
                <w:szCs w:val="20"/>
              </w:rPr>
            </w:pPr>
            <w:r>
              <w:rPr>
                <w:rFonts w:ascii="Georgia" w:cs="Georgia" w:eastAsia="Georgia" w:hAnsi="Georgia"/>
                <w:b w:val="1"/>
                <w:bCs w:val="1"/>
                <w:sz w:val="20"/>
                <w:szCs w:val="20"/>
                <w:rtl w:val="0"/>
              </w:rPr>
              <w:t>Business Owner</w:t>
            </w:r>
          </w:p>
        </w:tc>
        <w:tc>
          <w:tcPr>
            <w:vAlign w:val="center"/>
          </w:tcPr>
          <w:p w14:paraId="0000003C">
            <w:pPr>
              <w:rPr>
                <w:rFonts w:ascii="Georgia" w:cs="Georgia" w:eastAsia="Georgia" w:hAnsi="Georgia"/>
                <w:sz w:val="20"/>
                <w:szCs w:val="20"/>
              </w:rPr>
            </w:pPr>
            <w:r>
              <w:rPr>
                <w:rFonts w:ascii="Georgia" w:cs="Georgia" w:eastAsia="Georgia" w:hAnsi="Georgia"/>
                <w:sz w:val="20"/>
                <w:szCs w:val="20"/>
                <w:rtl w:val="0"/>
              </w:rPr>
              <w:t>MIAO maintainers</w:t>
            </w:r>
          </w:p>
        </w:tc>
      </w:tr>
      <w:tr>
        <w:trPr>
          <w:cantSplit w:val="0"/>
          <w:trHeight w:val="431.99999999999994" w:hRule="atLeast"/>
          <w:tblHeader w:val="0"/>
        </w:trPr>
        <w:tc>
          <w:tcPr>
            <w:vAlign w:val="center"/>
          </w:tcPr>
          <w:p w14:paraId="0000003D">
            <w:pPr>
              <w:rPr>
                <w:rFonts w:ascii="Georgia" w:cs="Georgia" w:eastAsia="Georgia" w:hAnsi="Georgia"/>
                <w:b w:val="1"/>
                <w:bCs w:val="1"/>
                <w:sz w:val="20"/>
                <w:szCs w:val="20"/>
              </w:rPr>
            </w:pPr>
            <w:r>
              <w:rPr>
                <w:rFonts w:ascii="Georgia" w:cs="Georgia" w:eastAsia="Georgia" w:hAnsi="Georgia"/>
                <w:b w:val="1"/>
                <w:bCs w:val="1"/>
                <w:sz w:val="20"/>
                <w:szCs w:val="20"/>
                <w:rtl w:val="0"/>
              </w:rPr>
              <w:t>Product Surface</w:t>
            </w:r>
          </w:p>
        </w:tc>
        <w:tc>
          <w:tcPr>
            <w:vAlign w:val="center"/>
          </w:tcPr>
          <w:p w14:paraId="0000003E">
            <w:pPr>
              <w:rPr>
                <w:rFonts w:ascii="Georgia" w:cs="Georgia" w:eastAsia="Georgia" w:hAnsi="Georgia"/>
                <w:sz w:val="20"/>
                <w:szCs w:val="20"/>
              </w:rPr>
            </w:pPr>
            <w:r>
              <w:rPr>
                <w:rFonts w:ascii="Georgia" w:cs="Georgia" w:eastAsia="Georgia" w:hAnsi="Georgia"/>
                <w:sz w:val="20"/>
                <w:szCs w:val="20"/>
                <w:rtl w:val="0"/>
              </w:rPr>
              <w:t>miao.my/product/agents/</w:t>
            </w:r>
          </w:p>
        </w:tc>
      </w:tr>
      <w:tr>
        <w:trPr>
          <w:cantSplit w:val="0"/>
          <w:trHeight w:val="431.99999999999994" w:hRule="atLeast"/>
          <w:tblHeader w:val="0"/>
        </w:trPr>
        <w:tc>
          <w:tcPr>
            <w:vAlign w:val="center"/>
          </w:tcPr>
          <w:p w14:paraId="0000003F">
            <w:pPr>
              <w:rPr>
                <w:rFonts w:ascii="Georgia" w:cs="Georgia" w:eastAsia="Georgia" w:hAnsi="Georgia"/>
                <w:b w:val="1"/>
                <w:bCs w:val="1"/>
                <w:sz w:val="20"/>
                <w:szCs w:val="20"/>
              </w:rPr>
            </w:pPr>
            <w:r>
              <w:rPr>
                <w:rFonts w:ascii="Georgia" w:cs="Georgia" w:eastAsia="Georgia" w:hAnsi="Georgia"/>
                <w:b w:val="1"/>
                <w:bCs w:val="1"/>
                <w:sz w:val="20"/>
                <w:szCs w:val="20"/>
                <w:rtl w:val="0"/>
              </w:rPr>
              <w:t>Primary Objective</w:t>
            </w:r>
          </w:p>
        </w:tc>
        <w:tc>
          <w:tcPr>
            <w:vAlign w:val="center"/>
          </w:tcPr>
          <w:p w14:paraId="00000040">
            <w:pPr>
              <w:rPr>
                <w:rFonts w:ascii="Georgia" w:cs="Georgia" w:eastAsia="Georgia" w:hAnsi="Georgia"/>
                <w:sz w:val="20"/>
                <w:szCs w:val="20"/>
              </w:rPr>
            </w:pPr>
            <w:r>
              <w:rPr>
                <w:rFonts w:ascii="Georgia" w:cs="Georgia" w:eastAsia="Georgia" w:hAnsi="Georgia"/>
                <w:sz w:val="20"/>
                <w:szCs w:val="20"/>
                <w:rtl w:val="0"/>
              </w:rPr>
              <w:t>Make the first relevant next action explicit without weakening trust.</w:t>
            </w:r>
          </w:p>
        </w:tc>
      </w:tr>
      <w:tr>
        <w:trPr>
          <w:cantSplit w:val="0"/>
          <w:trHeight w:val="431.99999999999994" w:hRule="atLeast"/>
          <w:tblHeader w:val="0"/>
        </w:trPr>
        <w:tc>
          <w:tcPr>
            <w:vAlign w:val="center"/>
          </w:tcPr>
          <w:p w14:paraId="00000041">
            <w:pPr>
              <w:rPr>
                <w:rFonts w:ascii="Georgia" w:cs="Georgia" w:eastAsia="Georgia" w:hAnsi="Georgia"/>
                <w:b w:val="1"/>
                <w:bCs w:val="1"/>
                <w:sz w:val="20"/>
                <w:szCs w:val="20"/>
              </w:rPr>
            </w:pPr>
            <w:r>
              <w:rPr>
                <w:rFonts w:ascii="Georgia" w:cs="Georgia" w:eastAsia="Georgia" w:hAnsi="Georgia"/>
                <w:b w:val="1"/>
                <w:bCs w:val="1"/>
                <w:sz w:val="20"/>
                <w:szCs w:val="20"/>
                <w:rtl w:val="0"/>
              </w:rPr>
              <w:t>Control (Variant A)</w:t>
            </w:r>
          </w:p>
        </w:tc>
        <w:tc>
          <w:tcPr>
            <w:vAlign w:val="center"/>
          </w:tcPr>
          <w:p w14:paraId="00000042">
            <w:pPr>
              <w:rPr>
                <w:rFonts w:ascii="Georgia" w:cs="Georgia" w:eastAsia="Georgia" w:hAnsi="Georgia"/>
                <w:sz w:val="20"/>
                <w:szCs w:val="20"/>
              </w:rPr>
            </w:pPr>
            <w:r>
              <w:rPr>
                <w:rFonts w:ascii="Georgia" w:cs="Georgia" w:eastAsia="Georgia" w:hAnsi="Georgia"/>
                <w:sz w:val="20"/>
                <w:szCs w:val="20"/>
                <w:rtl w:val="0"/>
              </w:rPr>
              <w:t>Current page: boundary explainer with inline reading links and no primary CTA.</w:t>
            </w:r>
          </w:p>
        </w:tc>
      </w:tr>
      <w:tr>
        <w:trPr>
          <w:cantSplit w:val="0"/>
          <w:trHeight w:val="431.99999999999994" w:hRule="atLeast"/>
          <w:tblHeader w:val="0"/>
        </w:trPr>
        <w:tc>
          <w:tcPr>
            <w:vAlign w:val="center"/>
          </w:tcPr>
          <w:p w14:paraId="00000043">
            <w:pPr>
              <w:rPr>
                <w:rFonts w:ascii="Georgia" w:cs="Georgia" w:eastAsia="Georgia" w:hAnsi="Georgia"/>
                <w:b w:val="1"/>
                <w:bCs w:val="1"/>
                <w:sz w:val="20"/>
                <w:szCs w:val="20"/>
              </w:rPr>
            </w:pPr>
            <w:r>
              <w:rPr>
                <w:rFonts w:ascii="Georgia" w:cs="Georgia" w:eastAsia="Georgia" w:hAnsi="Georgia"/>
                <w:b w:val="1"/>
                <w:bCs w:val="1"/>
                <w:sz w:val="20"/>
                <w:szCs w:val="20"/>
                <w:rtl w:val="0"/>
              </w:rPr>
              <w:t>Treatment (Variant B)</w:t>
            </w:r>
          </w:p>
        </w:tc>
        <w:tc>
          <w:tcPr>
            <w:vAlign w:val="center"/>
          </w:tcPr>
          <w:p w14:paraId="00000044">
            <w:pPr>
              <w:rPr>
                <w:rFonts w:ascii="Georgia" w:cs="Georgia" w:eastAsia="Georgia" w:hAnsi="Georgia"/>
                <w:sz w:val="20"/>
                <w:szCs w:val="20"/>
              </w:rPr>
            </w:pPr>
            <w:r>
              <w:rPr>
                <w:rFonts w:ascii="Georgia" w:cs="Georgia" w:eastAsia="Georgia" w:hAnsi="Georgia"/>
                <w:sz w:val="20"/>
                <w:szCs w:val="20"/>
                <w:rtl w:val="0"/>
              </w:rPr>
              <w:t>Current page plus one primary CTA after the hero and one secondary documentation link.</w:t>
            </w:r>
          </w:p>
        </w:tc>
      </w:tr>
      <w:tr>
        <w:trPr>
          <w:cantSplit w:val="0"/>
          <w:trHeight w:val="431.99999999999994" w:hRule="atLeast"/>
          <w:tblHeader w:val="0"/>
        </w:trPr>
        <w:tc>
          <w:tcPr>
            <w:vAlign w:val="center"/>
          </w:tcPr>
          <w:p w14:paraId="00000045">
            <w:pPr>
              <w:rPr>
                <w:rFonts w:ascii="Georgia" w:cs="Georgia" w:eastAsia="Georgia" w:hAnsi="Georgia"/>
                <w:b w:val="1"/>
                <w:bCs w:val="1"/>
                <w:sz w:val="20"/>
                <w:szCs w:val="20"/>
              </w:rPr>
            </w:pPr>
            <w:r>
              <w:rPr>
                <w:rFonts w:ascii="Georgia" w:cs="Georgia" w:eastAsia="Georgia" w:hAnsi="Georgia"/>
                <w:b w:val="1"/>
                <w:bCs w:val="1"/>
                <w:sz w:val="20"/>
                <w:szCs w:val="20"/>
                <w:rtl w:val="0"/>
              </w:rPr>
              <w:t>Allocation</w:t>
            </w:r>
          </w:p>
        </w:tc>
        <w:tc>
          <w:tcPr>
            <w:vAlign w:val="center"/>
          </w:tcPr>
          <w:p w14:paraId="00000046">
            <w:pPr>
              <w:rPr>
                <w:rFonts w:ascii="Georgia" w:cs="Georgia" w:eastAsia="Georgia" w:hAnsi="Georgia"/>
                <w:sz w:val="20"/>
                <w:szCs w:val="20"/>
              </w:rPr>
            </w:pPr>
            <w:r>
              <w:rPr>
                <w:rFonts w:ascii="Georgia" w:cs="Georgia" w:eastAsia="Georgia" w:hAnsi="Georgia"/>
                <w:sz w:val="20"/>
                <w:szCs w:val="20"/>
                <w:rtl w:val="0"/>
              </w:rPr>
              <w:t>Not run; allocation to be defined before launch.</w:t>
            </w:r>
          </w:p>
        </w:tc>
      </w:tr>
      <w:tr>
        <w:trPr>
          <w:cantSplit w:val="0"/>
          <w:trHeight w:val="431.99999999999994" w:hRule="atLeast"/>
          <w:tblHeader w:val="0"/>
        </w:trPr>
        <w:tc>
          <w:tcPr>
            <w:vAlign w:val="center"/>
          </w:tcPr>
          <w:p w14:paraId="00000047">
            <w:pPr>
              <w:rPr>
                <w:rFonts w:ascii="Georgia" w:cs="Georgia" w:eastAsia="Georgia" w:hAnsi="Georgia"/>
                <w:b w:val="1"/>
                <w:bCs w:val="1"/>
                <w:sz w:val="20"/>
                <w:szCs w:val="20"/>
              </w:rPr>
            </w:pPr>
            <w:r>
              <w:rPr>
                <w:rFonts w:ascii="Georgia" w:cs="Georgia" w:eastAsia="Georgia" w:hAnsi="Georgia"/>
                <w:b w:val="1"/>
                <w:bCs w:val="1"/>
                <w:sz w:val="20"/>
                <w:szCs w:val="20"/>
                <w:rtl w:val="0"/>
              </w:rPr>
              <w:t>Unit of Randomization</w:t>
            </w:r>
          </w:p>
        </w:tc>
        <w:tc>
          <w:tcPr>
            <w:vAlign w:val="center"/>
          </w:tcPr>
          <w:p w14:paraId="00000048">
            <w:pPr>
              <w:rPr>
                <w:rFonts w:ascii="Georgia" w:cs="Georgia" w:eastAsia="Georgia" w:hAnsi="Georgia"/>
                <w:sz w:val="20"/>
                <w:szCs w:val="20"/>
              </w:rPr>
            </w:pPr>
            <w:r>
              <w:rPr>
                <w:rFonts w:ascii="Georgia" w:cs="Georgia" w:eastAsia="Georgia" w:hAnsi="Georgia"/>
                <w:sz w:val="20"/>
                <w:szCs w:val="20"/>
                <w:rtl w:val="0"/>
              </w:rPr>
              <w:t>Page session, pending instrumentation.</w:t>
            </w:r>
          </w:p>
        </w:tc>
      </w:tr>
      <w:tr>
        <w:trPr>
          <w:cantSplit w:val="0"/>
          <w:trHeight w:val="431.99999999999994" w:hRule="atLeast"/>
          <w:tblHeader w:val="0"/>
        </w:trPr>
        <w:tc>
          <w:tcPr>
            <w:vAlign w:val="center"/>
          </w:tcPr>
          <w:p w14:paraId="00000049">
            <w:pPr>
              <w:rPr>
                <w:rFonts w:ascii="Georgia" w:cs="Georgia" w:eastAsia="Georgia" w:hAnsi="Georgia"/>
                <w:b w:val="1"/>
                <w:bCs w:val="1"/>
                <w:sz w:val="20"/>
                <w:szCs w:val="20"/>
              </w:rPr>
            </w:pPr>
            <w:r>
              <w:rPr>
                <w:rFonts w:ascii="Georgia" w:cs="Georgia" w:eastAsia="Georgia" w:hAnsi="Georgia"/>
                <w:b w:val="1"/>
                <w:bCs w:val="1"/>
                <w:sz w:val="20"/>
                <w:szCs w:val="20"/>
                <w:rtl w:val="0"/>
              </w:rPr>
              <w:t>Audience</w:t>
            </w:r>
          </w:p>
        </w:tc>
        <w:tc>
          <w:tcPr>
            <w:vAlign w:val="center"/>
          </w:tcPr>
          <w:p w14:paraId="0000004A">
            <w:pPr>
              <w:rPr>
                <w:rFonts w:ascii="Georgia" w:cs="Georgia" w:eastAsia="Georgia" w:hAnsi="Georgia"/>
                <w:sz w:val="20"/>
                <w:szCs w:val="20"/>
              </w:rPr>
            </w:pPr>
            <w:r>
              <w:rPr>
                <w:rFonts w:ascii="Georgia" w:cs="Georgia" w:eastAsia="Georgia" w:hAnsi="Georgia"/>
                <w:sz w:val="20"/>
                <w:szCs w:val="20"/>
                <w:rtl w:val="0"/>
              </w:rPr>
              <w:t>First-time visitors evaluating MIAO Agent capabilities.</w:t>
            </w:r>
          </w:p>
        </w:tc>
      </w:tr>
      <w:tr>
        <w:trPr>
          <w:cantSplit w:val="0"/>
          <w:trHeight w:val="431.99999999999994" w:hRule="atLeast"/>
          <w:tblHeader w:val="0"/>
        </w:trPr>
        <w:tc>
          <w:tcPr>
            <w:vAlign w:val="center"/>
          </w:tcPr>
          <w:p w14:paraId="0000004B">
            <w:pPr>
              <w:rPr>
                <w:rFonts w:ascii="Georgia" w:cs="Georgia" w:eastAsia="Georgia" w:hAnsi="Georgia"/>
                <w:b w:val="1"/>
                <w:bCs w:val="1"/>
                <w:sz w:val="20"/>
                <w:szCs w:val="20"/>
              </w:rPr>
            </w:pPr>
            <w:r>
              <w:rPr>
                <w:rFonts w:ascii="Georgia" w:cs="Georgia" w:eastAsia="Georgia" w:hAnsi="Georgia"/>
                <w:b w:val="1"/>
                <w:bCs w:val="1"/>
                <w:sz w:val="20"/>
                <w:szCs w:val="20"/>
                <w:rtl w:val="0"/>
              </w:rPr>
              <w:t>Exclusions</w:t>
            </w:r>
          </w:p>
        </w:tc>
        <w:tc>
          <w:tcPr>
            <w:vAlign w:val="center"/>
          </w:tcPr>
          <w:p w14:paraId="0000004C">
            <w:pPr>
              <w:rPr>
                <w:rFonts w:ascii="Georgia" w:cs="Georgia" w:eastAsia="Georgia" w:hAnsi="Georgia"/>
                <w:sz w:val="20"/>
                <w:szCs w:val="20"/>
              </w:rPr>
            </w:pPr>
            <w:r>
              <w:rPr>
                <w:rFonts w:ascii="Georgia" w:cs="Georgia" w:eastAsia="Georgia" w:hAnsi="Georgia"/>
                <w:sz w:val="20"/>
                <w:szCs w:val="20"/>
                <w:rtl w:val="0"/>
              </w:rPr>
              <w:t>Bots, internal traffic, duplicate sessions, and sessions without assignment.</w:t>
            </w:r>
          </w:p>
        </w:tc>
      </w:tr>
      <w:tr>
        <w:trPr>
          <w:cantSplit w:val="0"/>
          <w:trHeight w:val="431.99999999999994" w:hRule="atLeast"/>
          <w:tblHeader w:val="0"/>
        </w:trPr>
        <w:tc>
          <w:tcPr>
            <w:vAlign w:val="center"/>
          </w:tcPr>
          <w:p w14:paraId="0000004D">
            <w:pPr>
              <w:rPr>
                <w:rFonts w:ascii="Georgia" w:cs="Georgia" w:eastAsia="Georgia" w:hAnsi="Georgia"/>
                <w:b w:val="1"/>
                <w:bCs w:val="1"/>
                <w:sz w:val="20"/>
                <w:szCs w:val="20"/>
              </w:rPr>
            </w:pPr>
            <w:r>
              <w:rPr>
                <w:rFonts w:ascii="Georgia" w:cs="Georgia" w:eastAsia="Georgia" w:hAnsi="Georgia"/>
                <w:b w:val="1"/>
                <w:bCs w:val="1"/>
                <w:sz w:val="20"/>
                <w:szCs w:val="20"/>
                <w:rtl w:val="0"/>
              </w:rPr>
              <w:t>Start Date</w:t>
            </w:r>
          </w:p>
        </w:tc>
        <w:tc>
          <w:tcPr>
            <w:vAlign w:val="center"/>
          </w:tcPr>
          <w:p w14:paraId="0000004E">
            <w:pPr>
              <w:rPr>
                <w:rFonts w:ascii="Georgia" w:cs="Georgia" w:eastAsia="Georgia" w:hAnsi="Georgia"/>
                <w:sz w:val="20"/>
                <w:szCs w:val="20"/>
              </w:rPr>
            </w:pPr>
            <w:r>
              <w:rPr>
                <w:rFonts w:ascii="Georgia" w:cs="Georgia" w:eastAsia="Georgia" w:hAnsi="Georgia"/>
                <w:sz w:val="20"/>
                <w:szCs w:val="20"/>
                <w:rtl w:val="0"/>
              </w:rPr>
              <w:t>Not run.</w:t>
            </w:r>
          </w:p>
        </w:tc>
      </w:tr>
      <w:tr>
        <w:trPr>
          <w:cantSplit w:val="0"/>
          <w:trHeight w:val="431.99999999999994" w:hRule="atLeast"/>
          <w:tblHeader w:val="0"/>
        </w:trPr>
        <w:tc>
          <w:tcPr>
            <w:vAlign w:val="center"/>
          </w:tcPr>
          <w:p w14:paraId="0000004F">
            <w:pPr>
              <w:rPr>
                <w:rFonts w:ascii="Georgia" w:cs="Georgia" w:eastAsia="Georgia" w:hAnsi="Georgia"/>
                <w:b w:val="1"/>
                <w:bCs w:val="1"/>
                <w:sz w:val="20"/>
                <w:szCs w:val="20"/>
              </w:rPr>
            </w:pPr>
            <w:r>
              <w:rPr>
                <w:rFonts w:ascii="Georgia" w:cs="Georgia" w:eastAsia="Georgia" w:hAnsi="Georgia"/>
                <w:b w:val="1"/>
                <w:bCs w:val="1"/>
                <w:sz w:val="20"/>
                <w:szCs w:val="20"/>
                <w:rtl w:val="0"/>
              </w:rPr>
              <w:t>End Date</w:t>
            </w:r>
          </w:p>
        </w:tc>
        <w:tc>
          <w:tcPr>
            <w:vAlign w:val="center"/>
          </w:tcPr>
          <w:p w14:paraId="00000050">
            <w:pPr>
              <w:rPr>
                <w:rFonts w:ascii="Georgia" w:cs="Georgia" w:eastAsia="Georgia" w:hAnsi="Georgia"/>
                <w:sz w:val="20"/>
                <w:szCs w:val="20"/>
              </w:rPr>
            </w:pPr>
            <w:r>
              <w:rPr>
                <w:rFonts w:ascii="Georgia" w:cs="Georgia" w:eastAsia="Georgia" w:hAnsi="Georgia"/>
                <w:sz w:val="20"/>
                <w:szCs w:val="20"/>
                <w:rtl w:val="0"/>
              </w:rPr>
              <w:t>Not run.</w:t>
            </w:r>
          </w:p>
        </w:tc>
      </w:tr>
      <w:tr>
        <w:trPr>
          <w:cantSplit w:val="0"/>
          <w:trHeight w:val="431.99999999999994" w:hRule="atLeast"/>
          <w:tblHeader w:val="0"/>
        </w:trPr>
        <w:tc>
          <w:tcPr>
            <w:vAlign w:val="center"/>
          </w:tcPr>
          <w:p w14:paraId="00000051">
            <w:pPr>
              <w:rPr>
                <w:rFonts w:ascii="Georgia" w:cs="Georgia" w:eastAsia="Georgia" w:hAnsi="Georgia"/>
                <w:b w:val="1"/>
                <w:bCs w:val="1"/>
                <w:sz w:val="20"/>
                <w:szCs w:val="20"/>
              </w:rPr>
            </w:pPr>
            <w:r>
              <w:rPr>
                <w:rFonts w:ascii="Georgia" w:cs="Georgia" w:eastAsia="Georgia" w:hAnsi="Georgia"/>
                <w:b w:val="1"/>
                <w:bCs w:val="1"/>
                <w:sz w:val="20"/>
                <w:szCs w:val="20"/>
                <w:rtl w:val="0"/>
              </w:rPr>
              <w:t>Planned Runtime</w:t>
            </w:r>
          </w:p>
        </w:tc>
        <w:tc>
          <w:tcPr>
            <w:vAlign w:val="center"/>
          </w:tcPr>
          <w:p w14:paraId="00000052">
            <w:pPr>
              <w:rPr>
                <w:rFonts w:ascii="Georgia" w:cs="Georgia" w:eastAsia="Georgia" w:hAnsi="Georgia"/>
                <w:sz w:val="20"/>
                <w:szCs w:val="20"/>
              </w:rPr>
            </w:pPr>
            <w:r>
              <w:rPr>
                <w:rFonts w:ascii="Georgia" w:cs="Georgia" w:eastAsia="Georgia" w:hAnsi="Georgia"/>
                <w:sz w:val="20"/>
                <w:szCs w:val="20"/>
                <w:rtl w:val="0"/>
              </w:rPr>
              <w:t>7-14 days after instrumentation and approval.</w:t>
            </w:r>
          </w:p>
        </w:tc>
      </w:tr>
      <w:tr>
        <w:trPr>
          <w:cantSplit w:val="0"/>
          <w:trHeight w:val="431.99999999999994" w:hRule="atLeast"/>
          <w:tblHeader w:val="0"/>
        </w:trPr>
        <w:tc>
          <w:tcPr>
            <w:vAlign w:val="center"/>
          </w:tcPr>
          <w:p w14:paraId="00000053">
            <w:pPr>
              <w:rPr>
                <w:rFonts w:ascii="Georgia" w:cs="Georgia" w:eastAsia="Georgia" w:hAnsi="Georgia"/>
                <w:b w:val="1"/>
                <w:bCs w:val="1"/>
                <w:sz w:val="20"/>
                <w:szCs w:val="20"/>
              </w:rPr>
            </w:pPr>
            <w:r>
              <w:rPr>
                <w:rFonts w:ascii="Georgia" w:cs="Georgia" w:eastAsia="Georgia" w:hAnsi="Georgia"/>
                <w:b w:val="1"/>
                <w:bCs w:val="1"/>
                <w:sz w:val="20"/>
                <w:szCs w:val="20"/>
                <w:rtl w:val="0"/>
              </w:rPr>
              <w:t>Actual Runtime</w:t>
            </w:r>
          </w:p>
        </w:tc>
        <w:tc>
          <w:tcPr>
            <w:vAlign w:val="center"/>
          </w:tcPr>
          <w:p w14:paraId="00000054">
            <w:pPr>
              <w:rPr>
                <w:rFonts w:ascii="Georgia" w:cs="Georgia" w:eastAsia="Georgia" w:hAnsi="Georgia"/>
                <w:sz w:val="20"/>
                <w:szCs w:val="20"/>
              </w:rPr>
            </w:pPr>
            <w:r>
              <w:rPr>
                <w:rFonts w:ascii="Georgia" w:cs="Georgia" w:eastAsia="Georgia" w:hAnsi="Georgia"/>
                <w:sz w:val="20"/>
                <w:szCs w:val="20"/>
                <w:rtl w:val="0"/>
              </w:rPr>
              <w:t>Not run.</w:t>
            </w:r>
          </w:p>
        </w:tc>
      </w:tr>
    </w:tbl>
    <w:p w14:paraId="00000055">
      <w:pPr>
        <w:rPr>
          <w:rFonts w:ascii="Georgia" w:cs="Georgia" w:eastAsia="Georgia" w:hAnsi="Georgia"/>
        </w:rPr>
      </w:pPr>
      <w:r>
        <w:rPr>
          <w:rtl w:val="0"/>
        </w:rPr>
      </w:r>
    </w:p>
    <w:p w14:paraId="00000056">
      <w:pPr>
        <w:pStyle w:val="Heading1"/>
        <w:rPr>
          <w:rFonts w:ascii="Georgia" w:cs="Georgia" w:eastAsia="Georgia" w:hAnsi="Georgia"/>
        </w:rPr>
      </w:pPr>
      <w:r>
        <w:rPr>
          <w:rFonts w:ascii="Georgia" w:cs="Georgia" w:eastAsia="Georgia" w:hAnsi="Georgia"/>
          <w:rtl w:val="0"/>
        </w:rPr>
        <w:t xml:space="preserve">Design Notes</w:t>
      </w:r>
    </w:p>
    <w:p w14:paraId="00000057">
      <w:pPr>
        <w:spacing w:after="240" w:before="240" w:lineRule="auto"/>
        <w:jc w:val="both"/>
        <w:rPr>
          <w:rFonts w:ascii="Georgia" w:cs="Georgia" w:eastAsia="Georgia" w:hAnsi="Georgia"/>
        </w:rPr>
      </w:pPr>
      <w:r>
        <w:rPr>
          <w:rFonts w:ascii="Georgia" w:cs="Georgia" w:eastAsia="Georgia" w:hAnsi="Georgia"/>
          <w:rtl w:val="0"/>
        </w:rPr>
        <w:t>The proposed design compares the shipped page with one treatment: keep the existing copy, layout, examples, and boundary language, then add one explicit primary action immediately after the hero and a secondary documentation link. The change tests path clarity rather than a new visual world.</w:t>
      </w:r>
    </w:p>
    <w:p w14:paraId="00000058">
      <w:pPr>
        <w:spacing w:after="240" w:before="240" w:lineRule="auto"/>
        <w:jc w:val="both"/>
        <w:rPr>
          <w:rFonts w:ascii="Georgia" w:cs="Georgia" w:eastAsia="Georgia" w:hAnsi="Georgia"/>
        </w:rPr>
      </w:pPr>
      <w:r>
        <w:rPr>
          <w:rFonts w:ascii="Georgia" w:cs="Georgia" w:eastAsia="Georgia" w:hAnsi="Georgia"/>
          <w:rtl w:val="0"/>
        </w:rPr>
        <w:t>This is a planned web experiment, not a live A/B test. Eligibility, assignment, runtime, device split, and event instrumentation are still to be defined. The baseline review used the live page and its source on October 12, 2026, with desktop browser evidence and a source-level responsive check.</w:t>
      </w:r>
    </w:p>
    <w:p w14:paraId="00000059">
      <w:pPr>
        <w:spacing w:after="240" w:before="240" w:lineRule="auto"/>
        <w:jc w:val="both"/>
        <w:rPr>
          <w:rFonts w:ascii="Georgia" w:cs="Georgia" w:eastAsia="Georgia" w:hAnsi="Georgia"/>
        </w:rPr>
      </w:pPr>
      <w:r>
        <w:rPr>
          <w:rtl w:val="0"/>
        </w:rPr>
      </w:r>
    </w:p>
    <w:p w14:paraId="0000005A">
      <w:pPr>
        <w:pStyle w:val="Heading1"/>
        <w:rPr>
          <w:rFonts w:ascii="Georgia" w:cs="Georgia" w:eastAsia="Georgia" w:hAnsi="Georgia"/>
        </w:rPr>
      </w:pPr>
      <w:r>
        <w:rPr>
          <w:rFonts w:ascii="Georgia" w:cs="Georgia" w:eastAsia="Georgia" w:hAnsi="Georgia"/>
          <w:rtl w:val="0"/>
        </w:rPr>
        <w:t xml:space="preserve">Hypothesis</w:t>
      </w:r>
    </w:p>
    <w:p w14:paraId="0000005B">
      <w:pPr>
        <w:spacing w:after="240" w:before="240" w:lineRule="auto"/>
        <w:jc w:val="both"/>
        <w:rPr>
          <w:rFonts w:ascii="Georgia" w:cs="Georgia" w:eastAsia="Georgia" w:hAnsi="Georgia"/>
        </w:rPr>
      </w:pPr>
      <w:r>
        <w:rPr>
          <w:rFonts w:ascii="Georgia" w:cs="Georgia" w:eastAsia="Georgia" w:hAnsi="Georgia"/>
          <w:rtl w:val="0"/>
        </w:rPr>
        <w:t>If the page adds one explicit first action after the hero while preserving its permission and illustrative-data language, then first-time visitors will reach a relevant next step more often, because the current page explains the Agent carefully but leaves the route to read, try, or inspect the product implicit.</w:t>
      </w:r>
    </w:p>
    <w:p w14:paraId="0000005C">
      <w:pPr>
        <w:spacing w:after="240" w:before="240" w:lineRule="auto"/>
        <w:jc w:val="both"/>
        <w:rPr>
          <w:rFonts w:ascii="Georgia" w:cs="Georgia" w:eastAsia="Georgia" w:hAnsi="Georgia"/>
        </w:rPr>
      </w:pPr>
      <w:r>
        <w:rPr>
          <w:rtl w:val="0"/>
        </w:rPr>
      </w:r>
    </w:p>
    <w:p w14:paraId="0000005D">
      <w:pPr>
        <w:pStyle w:val="Heading1"/>
        <w:rPr>
          <w:rFonts w:ascii="Georgia" w:cs="Georgia" w:eastAsia="Georgia" w:hAnsi="Georgia"/>
        </w:rPr>
      </w:pPr>
      <w:r>
        <w:rPr>
          <w:rFonts w:ascii="Georgia" w:cs="Georgia" w:eastAsia="Georgia" w:hAnsi="Georgia"/>
          <w:rtl w:val="0"/>
        </w:rPr>
        <w:t xml:space="preserve">Success Criteria</w:t>
      </w:r>
    </w:p>
    <w:p w14:paraId="0000005E">
      <w:pPr>
        <w:spacing w:after="240" w:before="240" w:lineRule="auto"/>
        <w:jc w:val="both"/>
        <w:rPr>
          <w:rFonts w:ascii="Georgia" w:cs="Georgia" w:eastAsia="Georgia" w:hAnsi="Georgia"/>
        </w:rPr>
      </w:pPr>
      <w:r>
        <w:rPr>
          <w:rFonts w:ascii="Georgia" w:cs="Georgia" w:eastAsia="Georgia" w:hAnsi="Georgia"/>
          <w:rtl w:val="0"/>
        </w:rPr>
        <w:t>Primary metric: click-through on the new primary CTA among eligible page sessions. Guardrails: documentation-link click-through, scroll depth to the boundary section, and qualitative trust/comprehension feedback. A winner requires a pre-registered uplift threshold, no guardrail breach, and review of desktop and mobile results before rollout.</w:t>
      </w:r>
    </w:p>
    <w:tbl>
      <w:tblPr>
        <w:tblStyle w:val="Table3"/>
        <w:tblW w:w="935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shd w:fill="f3f3f3" w:val="clear"/>
            <w:vAlign w:val="center"/>
          </w:tcPr>
          <w:p w14:paraId="0000005F">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Metric</w:t>
            </w:r>
          </w:p>
        </w:tc>
        <w:tc>
          <w:tcPr>
            <w:shd w:fill="f3f3f3" w:val="clear"/>
            <w:vAlign w:val="center"/>
          </w:tcPr>
          <w:p w14:paraId="00000060">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Target/Rule</w:t>
            </w:r>
          </w:p>
        </w:tc>
      </w:tr>
      <w:tr>
        <w:trPr>
          <w:cantSplit w:val="0"/>
          <w:trHeight w:val="431.99999999999994" w:hRule="atLeast"/>
          <w:tblHeader w:val="0"/>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Primary Metric</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CTA click-through; pre-register uplift threshold and confidence rule before launch.</w:t>
            </w:r>
          </w:p>
        </w:tc>
      </w:tr>
      <w:tr>
        <w:trPr>
          <w:cantSplit w:val="0"/>
          <w:trHeight w:val="431.99999999999994" w:hRule="atLeast"/>
          <w:tblHeader w:val="0"/>
        </w:trPr>
        <w:tc>
          <w:tcPr>
            <w:vAlign w:val="center"/>
          </w:tcPr>
          <w:p w14:paraId="00000063">
            <w:pPr>
              <w:jc w:val="both"/>
              <w:rPr>
                <w:rFonts w:ascii="Georgia" w:cs="Georgia" w:eastAsia="Georgia" w:hAnsi="Georgia"/>
                <w:b w:val="1"/>
                <w:bCs w:val="1"/>
                <w:sz w:val="20"/>
                <w:szCs w:val="20"/>
              </w:rPr>
            </w:pPr>
            <w:r>
              <w:rPr>
                <w:rFonts w:ascii="Georgia" w:cs="Georgia" w:eastAsia="Georgia" w:hAnsi="Georgia"/>
                <w:b w:val="1"/>
                <w:bCs w:val="1"/>
                <w:sz w:val="20"/>
                <w:szCs w:val="20"/>
                <w:rtl w:val="0"/>
              </w:rPr>
              <w:t>Guardrail 1</w:t>
            </w:r>
          </w:p>
        </w:tc>
        <w:tc>
          <w:tcPr>
            <w:vAlign w:val="center"/>
          </w:tcPr>
          <w:p w14:paraId="00000064">
            <w:pPr>
              <w:jc w:val="both"/>
              <w:rPr>
                <w:rFonts w:ascii="Georgia" w:cs="Georgia" w:eastAsia="Georgia" w:hAnsi="Georgia"/>
                <w:sz w:val="20"/>
                <w:szCs w:val="20"/>
              </w:rPr>
            </w:pPr>
            <w:r>
              <w:rPr>
                <w:rFonts w:ascii="Georgia" w:cs="Georgia" w:eastAsia="Georgia" w:hAnsi="Georgia"/>
                <w:sz w:val="20"/>
                <w:szCs w:val="20"/>
                <w:rtl w:val="0"/>
              </w:rPr>
              <w:t>Documentation click-through; no material decline versus control.</w:t>
            </w:r>
          </w:p>
        </w:tc>
      </w:tr>
      <w:tr>
        <w:trPr>
          <w:cantSplit w:val="0"/>
          <w:trHeight w:val="431.99999999999994" w:hRule="atLeast"/>
          <w:tblHeader w:val="0"/>
        </w:trPr>
        <w:tc>
          <w:tcPr>
            <w:vAlign w:val="center"/>
          </w:tcPr>
          <w:p w14:paraId="00000065">
            <w:pPr>
              <w:jc w:val="both"/>
              <w:rPr>
                <w:rFonts w:ascii="Georgia" w:cs="Georgia" w:eastAsia="Georgia" w:hAnsi="Georgia"/>
                <w:b w:val="1"/>
                <w:bCs w:val="1"/>
                <w:sz w:val="20"/>
                <w:szCs w:val="20"/>
              </w:rPr>
            </w:pPr>
            <w:r>
              <w:rPr>
                <w:rFonts w:ascii="Georgia" w:cs="Georgia" w:eastAsia="Georgia" w:hAnsi="Georgia"/>
                <w:b w:val="1"/>
                <w:bCs w:val="1"/>
                <w:sz w:val="20"/>
                <w:szCs w:val="20"/>
                <w:rtl w:val="0"/>
              </w:rPr>
              <w:t>Guardrail 2</w:t>
            </w:r>
          </w:p>
        </w:tc>
        <w:tc>
          <w:tcPr>
            <w:vAlign w:val="center"/>
          </w:tcPr>
          <w:p w14:paraId="00000066">
            <w:pPr>
              <w:jc w:val="both"/>
              <w:rPr>
                <w:rFonts w:ascii="Georgia" w:cs="Georgia" w:eastAsia="Georgia" w:hAnsi="Georgia"/>
                <w:sz w:val="20"/>
                <w:szCs w:val="20"/>
              </w:rPr>
            </w:pPr>
            <w:r>
              <w:rPr>
                <w:rFonts w:ascii="Georgia" w:cs="Georgia" w:eastAsia="Georgia" w:hAnsi="Georgia"/>
                <w:sz w:val="20"/>
                <w:szCs w:val="20"/>
                <w:rtl w:val="0"/>
              </w:rPr>
              <w:t>Boundary-section reach; no material decline versus control.</w:t>
            </w:r>
          </w:p>
        </w:tc>
      </w:tr>
      <w:tr>
        <w:trPr>
          <w:cantSplit w:val="0"/>
          <w:trHeight w:val="431.99999999999994" w:hRule="atLeast"/>
          <w:tblHeader w:val="0"/>
        </w:trPr>
        <w:tc>
          <w:tcPr>
            <w:vAlign w:val="center"/>
          </w:tcPr>
          <w:p w14:paraId="00000067">
            <w:pPr>
              <w:jc w:val="both"/>
              <w:rPr>
                <w:rFonts w:ascii="Georgia" w:cs="Georgia" w:eastAsia="Georgia" w:hAnsi="Georgia"/>
                <w:b w:val="1"/>
                <w:bCs w:val="1"/>
                <w:sz w:val="20"/>
                <w:szCs w:val="20"/>
              </w:rPr>
            </w:pPr>
            <w:r>
              <w:rPr>
                <w:rFonts w:ascii="Georgia" w:cs="Georgia" w:eastAsia="Georgia" w:hAnsi="Georgia"/>
                <w:b w:val="1"/>
                <w:bCs w:val="1"/>
                <w:sz w:val="20"/>
                <w:szCs w:val="20"/>
                <w:rtl w:val="0"/>
              </w:rPr>
              <w:t>Guardrail 3</w:t>
            </w:r>
          </w:p>
        </w:tc>
        <w:tc>
          <w:tcPr>
            <w:vAlign w:val="center"/>
          </w:tcPr>
          <w:p w14:paraId="00000068">
            <w:pPr>
              <w:jc w:val="both"/>
              <w:rPr>
                <w:rFonts w:ascii="Georgia" w:cs="Georgia" w:eastAsia="Georgia" w:hAnsi="Georgia"/>
                <w:sz w:val="20"/>
                <w:szCs w:val="20"/>
              </w:rPr>
            </w:pPr>
            <w:r>
              <w:rPr>
                <w:rFonts w:ascii="Georgia" w:cs="Georgia" w:eastAsia="Georgia" w:hAnsi="Georgia"/>
                <w:sz w:val="20"/>
                <w:szCs w:val="20"/>
                <w:rtl w:val="0"/>
              </w:rPr>
              <w:t>Trust/comprehension feedback; no increase in misreading permissions.</w:t>
            </w:r>
          </w:p>
        </w:tc>
      </w:tr>
      <w:tr>
        <w:trPr>
          <w:cantSplit w:val="0"/>
          <w:trHeight w:val="431.99999999999994" w:hRule="atLeast"/>
          <w:tblHeader w:val="0"/>
        </w:trPr>
        <w:tc>
          <w:tcPr>
            <w:vAlign w:val="center"/>
          </w:tcPr>
          <w:p w14:paraId="00000069">
            <w:pPr>
              <w:jc w:val="both"/>
              <w:rPr>
                <w:rFonts w:ascii="Georgia" w:cs="Georgia" w:eastAsia="Georgia" w:hAnsi="Georgia"/>
                <w:b w:val="1"/>
                <w:bCs w:val="1"/>
                <w:sz w:val="20"/>
                <w:szCs w:val="20"/>
              </w:rPr>
            </w:pPr>
            <w:r>
              <w:rPr>
                <w:rFonts w:ascii="Georgia" w:cs="Georgia" w:eastAsia="Georgia" w:hAnsi="Georgia"/>
                <w:b w:val="1"/>
                <w:bCs w:val="1"/>
                <w:sz w:val="20"/>
                <w:szCs w:val="20"/>
                <w:rtl w:val="0"/>
              </w:rPr>
              <w:t>Decision Rule</w:t>
            </w:r>
          </w:p>
        </w:tc>
        <w:tc>
          <w:tcPr>
            <w:vAlign w:val="center"/>
          </w:tcPr>
          <w:p w14:paraId="0000006A">
            <w:pPr>
              <w:jc w:val="both"/>
              <w:rPr>
                <w:rFonts w:ascii="Georgia" w:cs="Georgia" w:eastAsia="Georgia" w:hAnsi="Georgia"/>
                <w:sz w:val="20"/>
                <w:szCs w:val="20"/>
              </w:rPr>
            </w:pPr>
            <w:r>
              <w:rPr>
                <w:rFonts w:ascii="Georgia" w:cs="Georgia" w:eastAsia="Georgia" w:hAnsi="Georgia"/>
                <w:sz w:val="20"/>
                <w:szCs w:val="20"/>
                <w:rtl w:val="0"/>
              </w:rPr>
              <w:t>Roll out only if the primary threshold is met, guardrails pass, and desktop/mobile review is clean.</w:t>
            </w:r>
          </w:p>
        </w:tc>
      </w:tr>
    </w:tbl>
    <w:p w14:paraId="0000006B">
      <w:pPr>
        <w:rPr>
          <w:rFonts w:ascii="Georgia" w:cs="Georgia" w:eastAsia="Georgia" w:hAnsi="Georgia"/>
        </w:rPr>
      </w:pPr>
      <w:r>
        <w:rPr>
          <w:rtl w:val="0"/>
        </w:rPr>
      </w:r>
    </w:p>
    <w:p w14:paraId="0000006C">
      <w:pPr>
        <w:pStyle w:val="Heading1"/>
        <w:rPr>
          <w:rFonts w:ascii="Georgia" w:cs="Georgia" w:eastAsia="Georgia" w:hAnsi="Georgia"/>
        </w:rPr>
      </w:pPr>
      <w:r>
        <w:rPr>
          <w:rFonts w:ascii="Georgia" w:cs="Georgia" w:eastAsia="Georgia" w:hAnsi="Georgia"/>
          <w:rtl w:val="0"/>
        </w:rPr>
        <w:t xml:space="preserve">Pre-Launch Validation</w:t>
      </w:r>
    </w:p>
    <w:p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Baseline source review completed: the current page is the control and no treatment is shipped.</w:t>
      </w:r>
      <w:r>
        <w:rPr>
          <w:rtl w:val="0"/>
        </w:rPr>
      </w:r>
    </w:p>
    <w:p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Pending: define randomization at the page-session level and persist assignment across reloads.</w:t>
      </w:r>
      <w:r>
        <w:rPr>
          <w:rtl w:val="0"/>
        </w:rPr>
      </w:r>
    </w:p>
    <w:p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Pending: instrument CTA exposure, CTA click, documentation click, page depth, and guardrail events.</w:t>
      </w:r>
      <w:r>
        <w:rPr>
          <w:rtl w:val="0"/>
        </w:rPr>
      </w:r>
    </w:p>
    <w:p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Pending: exclude bots, internal traffic, duplicate sessions, and traffic without a stable assignment.</w:t>
      </w:r>
      <w:r>
        <w:rPr>
          <w:rtl w:val="0"/>
        </w:rPr>
      </w:r>
    </w:p>
    <w:p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No A/A or staging result is available. Do not infer causal performance from this qualitative review.</w:t>
      </w:r>
      <w:r>
        <w:rPr>
          <w:rtl w:val="0"/>
        </w:rPr>
      </w:r>
    </w:p>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rFonts w:ascii="Georgia" w:cs="Georgia" w:eastAsia="Georgia" w:hAnsi="Georgia"/>
        </w:rPr>
      </w:pPr>
      <w:r>
        <w:rPr>
          <w:rtl w:val="0"/>
        </w:rPr>
      </w:r>
    </w:p>
    <w:p w14:paraId="00000073">
      <w:pPr>
        <w:pStyle w:val="Heading1"/>
        <w:rPr>
          <w:rFonts w:ascii="Georgia" w:cs="Georgia" w:eastAsia="Georgia" w:hAnsi="Georgia"/>
        </w:rPr>
      </w:pPr>
      <w:r>
        <w:rPr>
          <w:rFonts w:ascii="Georgia" w:cs="Georgia" w:eastAsia="Georgia" w:hAnsi="Georgia"/>
          <w:rtl w:val="0"/>
        </w:rPr>
        <w:t xml:space="preserve">Sample and Exposure Summary</w:t>
      </w:r>
    </w:p>
    <w:p w14:paraId="00000074">
      <w:pPr>
        <w:spacing w:after="240" w:before="240" w:lineRule="auto"/>
        <w:jc w:val="both"/>
        <w:rPr>
          <w:rFonts w:ascii="Georgia" w:cs="Georgia" w:eastAsia="Georgia" w:hAnsi="Georgia"/>
        </w:rPr>
      </w:pPr>
      <w:r>
        <w:rPr>
          <w:rFonts w:ascii="Georgia" w:cs="Georgia" w:eastAsia="Georgia" w:hAnsi="Georgia"/>
          <w:rtl w:val="0"/>
        </w:rPr>
        <w:t>No controlled traffic or exposure was recorded. The baseline consists of one live page review, source inspection, and desktop browser evidence. The data are not suitable for causal analysis or a launch decision.</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Change w:id="0">
          <w:tblGrid>
            <w:gridCol w:w="3823"/>
            <w:gridCol w:w="2693"/>
            <w:gridCol w:w="2834"/>
          </w:tblGrid>
        </w:tblGridChange>
      </w:tblGrid>
      <w:tr>
        <w:trPr>
          <w:cantSplit w:val="0"/>
          <w:trHeight w:val="431.99999999999994" w:hRule="atLeast"/>
          <w:tblHeader w:val="0"/>
        </w:trPr>
        <w:tc>
          <w:tcPr>
            <w:shd w:fill="f3f3f3" w:val="clear"/>
            <w:vAlign w:val="center"/>
          </w:tcPr>
          <w:p w14:paraId="0000007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Metric</w:t>
            </w:r>
          </w:p>
        </w:tc>
        <w:tc>
          <w:tcPr>
            <w:shd w:fill="f3f3f3" w:val="clear"/>
            <w:vAlign w:val="center"/>
          </w:tcPr>
          <w:p w14:paraId="0000007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Variant A (Control)</w:t>
            </w:r>
          </w:p>
        </w:tc>
        <w:tc>
          <w:tcPr>
            <w:shd w:fill="f3f3f3" w:val="clear"/>
            <w:vAlign w:val="center"/>
          </w:tcPr>
          <w:p w14:paraId="0000007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Variant B (Treatment)</w:t>
            </w:r>
          </w:p>
        </w:tc>
      </w:tr>
      <w:tr>
        <w:trPr>
          <w:cantSplit w:val="0"/>
          <w:trHeight w:val="431.99999999999994" w:hRule="atLeast"/>
          <w:tblHeader w:val="0"/>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Eligible sessions</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N/A</w:t>
            </w:r>
          </w:p>
        </w:tc>
      </w:tr>
      <w:tr>
        <w:trPr>
          <w:cantSplit w:val="0"/>
          <w:trHeight w:val="431.99999999999994" w:hRule="atLeast"/>
          <w:tblHeader w:val="0"/>
        </w:trPr>
        <w:tc>
          <w:tcPr>
            <w:vAlign w:val="center"/>
          </w:tcPr>
          <w:p w14:paraId="0000007B">
            <w:pPr>
              <w:rPr>
                <w:rFonts w:ascii="Georgia" w:cs="Georgia" w:eastAsia="Georgia" w:hAnsi="Georgia"/>
                <w:b w:val="1"/>
                <w:bCs w:val="1"/>
                <w:sz w:val="20"/>
                <w:szCs w:val="20"/>
              </w:rPr>
            </w:pPr>
            <w:r>
              <w:rPr>
                <w:rFonts w:ascii="Georgia" w:cs="Georgia" w:eastAsia="Georgia" w:hAnsi="Georgia"/>
                <w:b w:val="1"/>
                <w:bCs w:val="1"/>
                <w:sz w:val="20"/>
                <w:szCs w:val="20"/>
                <w:rtl w:val="0"/>
              </w:rPr>
              <w:t>Exposed sessions</w:t>
            </w:r>
          </w:p>
        </w:tc>
        <w:tc>
          <w:tcPr>
            <w:vAlign w:val="center"/>
          </w:tcPr>
          <w:p w14:paraId="0000007C">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7D">
            <w:pPr>
              <w:rPr>
                <w:rFonts w:ascii="Georgia" w:cs="Georgia" w:eastAsia="Georgia" w:hAnsi="Georgia"/>
                <w:sz w:val="20"/>
                <w:szCs w:val="20"/>
              </w:rPr>
            </w:pPr>
            <w:r>
              <w:rPr>
                <w:rFonts w:ascii="Georgia" w:cs="Georgia" w:eastAsia="Georgia" w:hAnsi="Georgia"/>
                <w:sz w:val="20"/>
                <w:szCs w:val="20"/>
                <w:rtl w:val="0"/>
              </w:rPr>
              <w:t>N/A</w:t>
            </w:r>
          </w:p>
        </w:tc>
      </w:tr>
      <w:tr>
        <w:trPr>
          <w:cantSplit w:val="0"/>
          <w:trHeight w:val="431.99999999999994" w:hRule="atLeast"/>
          <w:tblHeader w:val="0"/>
        </w:trPr>
        <w:tc>
          <w:tcPr>
            <w:vAlign w:val="center"/>
          </w:tcPr>
          <w:p w14:paraId="0000007E">
            <w:pPr>
              <w:rPr>
                <w:rFonts w:ascii="Georgia" w:cs="Georgia" w:eastAsia="Georgia" w:hAnsi="Georgia"/>
                <w:b w:val="1"/>
                <w:bCs w:val="1"/>
                <w:sz w:val="20"/>
                <w:szCs w:val="20"/>
              </w:rPr>
            </w:pPr>
            <w:r>
              <w:rPr>
                <w:rFonts w:ascii="Georgia" w:cs="Georgia" w:eastAsia="Georgia" w:hAnsi="Georgia"/>
                <w:b w:val="1"/>
                <w:bCs w:val="1"/>
                <w:sz w:val="20"/>
                <w:szCs w:val="20"/>
                <w:rtl w:val="0"/>
              </w:rPr>
              <w:t>Outcome count</w:t>
            </w:r>
          </w:p>
        </w:tc>
        <w:tc>
          <w:tcPr>
            <w:vAlign w:val="center"/>
          </w:tcPr>
          <w:p w14:paraId="0000007F">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80">
            <w:pPr>
              <w:rPr>
                <w:rFonts w:ascii="Georgia" w:cs="Georgia" w:eastAsia="Georgia" w:hAnsi="Georgia"/>
                <w:sz w:val="20"/>
                <w:szCs w:val="20"/>
              </w:rPr>
            </w:pPr>
            <w:r>
              <w:rPr>
                <w:rFonts w:ascii="Georgia" w:cs="Georgia" w:eastAsia="Georgia" w:hAnsi="Georgia"/>
                <w:sz w:val="20"/>
                <w:szCs w:val="20"/>
                <w:rtl w:val="0"/>
              </w:rPr>
              <w:t>N/A</w:t>
            </w:r>
          </w:p>
        </w:tc>
      </w:tr>
      <w:tr>
        <w:trPr>
          <w:cantSplit w:val="0"/>
          <w:trHeight w:val="431.99999999999994" w:hRule="atLeast"/>
          <w:tblHeader w:val="0"/>
        </w:trPr>
        <w:tc>
          <w:tcPr>
            <w:vAlign w:val="center"/>
          </w:tcPr>
          <w:p w14:paraId="00000081">
            <w:pPr>
              <w:rPr>
                <w:rFonts w:ascii="Georgia" w:cs="Georgia" w:eastAsia="Georgia" w:hAnsi="Georgia"/>
                <w:b w:val="1"/>
                <w:bCs w:val="1"/>
                <w:sz w:val="20"/>
                <w:szCs w:val="20"/>
              </w:rPr>
            </w:pPr>
            <w:r>
              <w:rPr>
                <w:rFonts w:ascii="Georgia" w:cs="Georgia" w:eastAsia="Georgia" w:hAnsi="Georgia"/>
                <w:b w:val="1"/>
                <w:bCs w:val="1"/>
                <w:sz w:val="20"/>
                <w:szCs w:val="20"/>
                <w:rtl w:val="0"/>
              </w:rPr>
              <w:t>Exposure or allocation share</w:t>
            </w:r>
          </w:p>
        </w:tc>
        <w:tc>
          <w:tcPr>
            <w:vAlign w:val="center"/>
          </w:tcPr>
          <w:p w14:paraId="00000082">
            <w:pPr>
              <w:rPr>
                <w:rFonts w:ascii="Georgia" w:cs="Georgia" w:eastAsia="Georgia" w:hAnsi="Georgia"/>
                <w:sz w:val="20"/>
                <w:szCs w:val="20"/>
              </w:rPr>
            </w:pPr>
            <w:r>
              <w:rPr>
                <w:rFonts w:ascii="Georgia" w:cs="Georgia" w:eastAsia="Georgia" w:hAnsi="Georgia"/>
                <w:sz w:val="20"/>
                <w:szCs w:val="20"/>
                <w:rtl w:val="0"/>
              </w:rPr>
              <w:t>Not assigned</w:t>
            </w:r>
          </w:p>
        </w:tc>
        <w:tc>
          <w:tcPr>
            <w:vAlign w:val="center"/>
          </w:tcPr>
          <w:p w14:paraId="00000083">
            <w:pPr>
              <w:rPr>
                <w:rFonts w:ascii="Georgia" w:cs="Georgia" w:eastAsia="Georgia" w:hAnsi="Georgia"/>
                <w:sz w:val="20"/>
                <w:szCs w:val="20"/>
              </w:rPr>
            </w:pPr>
            <w:r>
              <w:rPr>
                <w:rFonts w:ascii="Georgia" w:cs="Georgia" w:eastAsia="Georgia" w:hAnsi="Georgia"/>
                <w:sz w:val="20"/>
                <w:szCs w:val="20"/>
                <w:rtl w:val="0"/>
              </w:rPr>
              <w:t>Not assigned</w:t>
            </w:r>
          </w:p>
        </w:tc>
      </w:tr>
      <w:tr>
        <w:trPr>
          <w:cantSplit w:val="0"/>
          <w:trHeight w:val="431.99999999999994" w:hRule="atLeast"/>
          <w:tblHeader w:val="0"/>
        </w:trPr>
        <w:tc>
          <w:tcPr>
            <w:vAlign w:val="center"/>
          </w:tcPr>
          <w:p w14:paraId="00000084">
            <w:pPr>
              <w:rPr>
                <w:rFonts w:ascii="Georgia" w:cs="Georgia" w:eastAsia="Georgia" w:hAnsi="Georgia"/>
                <w:b w:val="1"/>
                <w:bCs w:val="1"/>
                <w:sz w:val="20"/>
                <w:szCs w:val="20"/>
              </w:rPr>
            </w:pPr>
            <w:r>
              <w:rPr>
                <w:rFonts w:ascii="Georgia" w:cs="Georgia" w:eastAsia="Georgia" w:hAnsi="Georgia"/>
                <w:b w:val="1"/>
                <w:bCs w:val="1"/>
                <w:sz w:val="20"/>
                <w:szCs w:val="20"/>
                <w:rtl w:val="0"/>
              </w:rPr>
              <w:t>Sample Ratio Check</w:t>
            </w:r>
          </w:p>
        </w:tc>
        <w:tc>
          <w:tcPr>
            <w:vAlign w:val="center"/>
          </w:tcPr>
          <w:p w14:paraId="00000085">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86">
            <w:pPr>
              <w:rPr>
                <w:rFonts w:ascii="Georgia" w:cs="Georgia" w:eastAsia="Georgia" w:hAnsi="Georgia"/>
                <w:sz w:val="20"/>
                <w:szCs w:val="20"/>
              </w:rPr>
            </w:pPr>
            <w:r>
              <w:rPr>
                <w:rFonts w:ascii="Georgia" w:cs="Georgia" w:eastAsia="Georgia" w:hAnsi="Georgia"/>
                <w:sz w:val="20"/>
                <w:szCs w:val="20"/>
                <w:rtl w:val="0"/>
              </w:rPr>
              <w:t>N/A</w:t>
            </w:r>
          </w:p>
        </w:tc>
      </w:tr>
    </w:tbl>
    <w:p w14:paraId="00000087">
      <w:pPr>
        <w:spacing w:after="240" w:before="240" w:lineRule="auto"/>
        <w:rPr>
          <w:rFonts w:ascii="Georgia" w:cs="Georgia" w:eastAsia="Georgia" w:hAnsi="Georgia"/>
        </w:rPr>
      </w:pPr>
      <w:r>
        <w:rPr>
          <w:rtl w:val="0"/>
        </w:rPr>
      </w:r>
    </w:p>
    <w:p w14:paraId="00000088">
      <w:pPr>
        <w:pStyle w:val="Heading1"/>
        <w:rPr>
          <w:rFonts w:ascii="Georgia" w:cs="Georgia" w:eastAsia="Georgia" w:hAnsi="Georgia"/>
        </w:rPr>
      </w:pPr>
      <w:r>
        <w:rPr>
          <w:rFonts w:ascii="Georgia" w:cs="Georgia" w:eastAsia="Georgia" w:hAnsi="Georgia"/>
          <w:rtl w:val="0"/>
        </w:rPr>
        <w:t xml:space="preserve">Primary Outcome</w:t>
      </w:r>
    </w:p>
    <w:p w14:paraId="00000089">
      <w:pPr>
        <w:rPr>
          <w:rFonts w:ascii="Georgia" w:cs="Georgia" w:eastAsia="Georgia" w:hAnsi="Georgia"/>
        </w:rPr>
      </w:pPr>
      <w:r>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8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Measure</w:t>
            </w:r>
          </w:p>
        </w:tc>
        <w:tc>
          <w:tcPr>
            <w:shd w:fill="f3f3f3" w:val="clear"/>
            <w:vAlign w:val="center"/>
          </w:tcPr>
          <w:p w14:paraId="0000008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Variant A</w:t>
            </w:r>
          </w:p>
        </w:tc>
        <w:tc>
          <w:tcPr>
            <w:shd w:fill="f3f3f3" w:val="clear"/>
            <w:vAlign w:val="center"/>
          </w:tcPr>
          <w:p w14:paraId="0000008C">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Variant B</w:t>
            </w:r>
          </w:p>
        </w:tc>
        <w:tc>
          <w:tcPr>
            <w:shd w:fill="f3f3f3" w:val="clear"/>
            <w:vAlign w:val="center"/>
          </w:tcPr>
          <w:p w14:paraId="0000008D">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Absolute Delta</w:t>
            </w:r>
          </w:p>
        </w:tc>
        <w:tc>
          <w:tcPr>
            <w:shd w:fill="f3f3f3" w:val="clear"/>
            <w:vAlign w:val="center"/>
          </w:tcPr>
          <w:p w14:paraId="0000008E">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Relative Delta</w:t>
            </w:r>
          </w:p>
        </w:tc>
      </w:tr>
      <w:tr>
        <w:trPr>
          <w:cantSplit w:val="0"/>
          <w:trHeight w:val="431.99999999999994" w:hRule="atLeast"/>
          <w:tblHeader w:val="0"/>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Primary outcome metric</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N/A</w:t>
            </w:r>
          </w:p>
        </w:tc>
      </w:tr>
      <w:tr>
        <w:trPr>
          <w:cantSplit w:val="0"/>
          <w:trHeight w:val="431.99999999999994" w:hRule="atLeast"/>
          <w:tblHeader w:val="0"/>
        </w:trPr>
        <w:tc>
          <w:tcPr>
            <w:vAlign w:val="center"/>
          </w:tcPr>
          <w:p w14:paraId="00000094">
            <w:pPr>
              <w:rPr>
                <w:rFonts w:ascii="Georgia" w:cs="Georgia" w:eastAsia="Georgia" w:hAnsi="Georgia"/>
                <w:b w:val="1"/>
                <w:bCs w:val="1"/>
                <w:sz w:val="20"/>
                <w:szCs w:val="20"/>
              </w:rPr>
            </w:pPr>
            <w:r>
              <w:rPr>
                <w:rFonts w:ascii="Georgia" w:cs="Georgia" w:eastAsia="Georgia" w:hAnsi="Georgia"/>
                <w:b w:val="1"/>
                <w:bCs w:val="1"/>
                <w:sz w:val="20"/>
                <w:szCs w:val="20"/>
                <w:rtl w:val="0"/>
              </w:rPr>
              <w:t>95% Confidence Interval</w:t>
            </w:r>
          </w:p>
        </w:tc>
        <w:tc>
          <w:tcPr>
            <w:vAlign w:val="center"/>
          </w:tcPr>
          <w:p w14:paraId="00000095">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6">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7">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8">
            <w:pPr>
              <w:rPr>
                <w:rFonts w:ascii="Georgia" w:cs="Georgia" w:eastAsia="Georgia" w:hAnsi="Georgia"/>
                <w:sz w:val="20"/>
                <w:szCs w:val="20"/>
              </w:rPr>
            </w:pPr>
            <w:r>
              <w:rPr>
                <w:rFonts w:ascii="Georgia" w:cs="Georgia" w:eastAsia="Georgia" w:hAnsi="Georgia"/>
                <w:sz w:val="20"/>
                <w:szCs w:val="20"/>
                <w:rtl w:val="0"/>
              </w:rPr>
              <w:t>N/A</w:t>
            </w:r>
          </w:p>
        </w:tc>
      </w:tr>
      <w:tr>
        <w:trPr>
          <w:cantSplit w:val="0"/>
          <w:trHeight w:val="431.99999999999994" w:hRule="atLeast"/>
          <w:tblHeader w:val="0"/>
        </w:trPr>
        <w:tc>
          <w:tcPr>
            <w:vAlign w:val="center"/>
          </w:tcPr>
          <w:p w14:paraId="00000099">
            <w:pPr>
              <w:rPr>
                <w:rFonts w:ascii="Georgia" w:cs="Georgia" w:eastAsia="Georgia" w:hAnsi="Georgia"/>
                <w:b w:val="1"/>
                <w:bCs w:val="1"/>
                <w:sz w:val="20"/>
                <w:szCs w:val="20"/>
              </w:rPr>
            </w:pPr>
            <w:r>
              <w:rPr>
                <w:rFonts w:ascii="Georgia" w:cs="Georgia" w:eastAsia="Georgia" w:hAnsi="Georgia"/>
                <w:b w:val="1"/>
                <w:bCs w:val="1"/>
                <w:sz w:val="20"/>
                <w:szCs w:val="20"/>
                <w:rtl w:val="0"/>
              </w:rPr>
              <w:t>Two-Sided p-value</w:t>
            </w:r>
          </w:p>
        </w:tc>
        <w:tc>
          <w:tcPr>
            <w:vAlign w:val="center"/>
          </w:tcPr>
          <w:p w14:paraId="0000009A">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B">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C">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9D">
            <w:pPr>
              <w:rPr>
                <w:rFonts w:ascii="Georgia" w:cs="Georgia" w:eastAsia="Georgia" w:hAnsi="Georgia"/>
                <w:sz w:val="20"/>
                <w:szCs w:val="20"/>
              </w:rPr>
            </w:pPr>
            <w:r>
              <w:rPr>
                <w:rFonts w:ascii="Georgia" w:cs="Georgia" w:eastAsia="Georgia" w:hAnsi="Georgia"/>
                <w:sz w:val="20"/>
                <w:szCs w:val="20"/>
                <w:rtl w:val="0"/>
              </w:rPr>
              <w:t>N/A</w:t>
            </w:r>
          </w:p>
        </w:tc>
      </w:tr>
      <w:tr>
        <w:trPr>
          <w:cantSplit w:val="0"/>
          <w:trHeight w:val="431.99999999999994" w:hRule="atLeast"/>
          <w:tblHeader w:val="0"/>
        </w:trPr>
        <w:tc>
          <w:tcPr>
            <w:vAlign w:val="center"/>
          </w:tcPr>
          <w:p w14:paraId="0000009E">
            <w:pPr>
              <w:rPr>
                <w:rFonts w:ascii="Georgia" w:cs="Georgia" w:eastAsia="Georgia" w:hAnsi="Georgia"/>
                <w:b w:val="1"/>
                <w:bCs w:val="1"/>
                <w:sz w:val="20"/>
                <w:szCs w:val="20"/>
              </w:rPr>
            </w:pPr>
            <w:r>
              <w:rPr>
                <w:rFonts w:ascii="Georgia" w:cs="Georgia" w:eastAsia="Georgia" w:hAnsi="Georgia"/>
                <w:b w:val="1"/>
                <w:bCs w:val="1"/>
                <w:sz w:val="20"/>
                <w:szCs w:val="20"/>
                <w:rtl w:val="0"/>
              </w:rPr>
              <w:t>Outcome Narrative</w:t>
            </w:r>
          </w:p>
        </w:tc>
        <w:tc>
          <w:tcPr>
            <w:vAlign w:val="center"/>
          </w:tcPr>
          <w:p w14:paraId="0000009F">
            <w:pPr>
              <w:rPr>
                <w:rFonts w:ascii="Georgia" w:cs="Georgia" w:eastAsia="Georgia" w:hAnsi="Georgia"/>
                <w:sz w:val="20"/>
                <w:szCs w:val="20"/>
              </w:rPr>
            </w:pPr>
            <w:r>
              <w:rPr>
                <w:rFonts w:ascii="Georgia" w:cs="Georgia" w:eastAsia="Georgia" w:hAnsi="Georgia"/>
                <w:sz w:val="20"/>
                <w:szCs w:val="20"/>
                <w:rtl w:val="0"/>
              </w:rPr>
              <w:t>Current page reviewed qualitatively.</w:t>
            </w:r>
          </w:p>
        </w:tc>
        <w:tc>
          <w:tcPr>
            <w:vAlign w:val="center"/>
          </w:tcPr>
          <w:p w14:paraId="000000A0">
            <w:pPr>
              <w:rPr>
                <w:rFonts w:ascii="Georgia" w:cs="Georgia" w:eastAsia="Georgia" w:hAnsi="Georgia"/>
                <w:sz w:val="20"/>
                <w:szCs w:val="20"/>
              </w:rPr>
            </w:pPr>
            <w:r>
              <w:rPr>
                <w:rFonts w:ascii="Georgia" w:cs="Georgia" w:eastAsia="Georgia" w:hAnsi="Georgia"/>
                <w:sz w:val="20"/>
                <w:szCs w:val="20"/>
                <w:rtl w:val="0"/>
              </w:rPr>
              <w:t>Treatment not shipped.</w:t>
            </w:r>
          </w:p>
        </w:tc>
        <w:tc>
          <w:tcPr>
            <w:vAlign w:val="center"/>
          </w:tcPr>
          <w:p w14:paraId="000000A1">
            <w:pPr>
              <w:rPr>
                <w:rFonts w:ascii="Georgia" w:cs="Georgia" w:eastAsia="Georgia" w:hAnsi="Georgia"/>
                <w:sz w:val="20"/>
                <w:szCs w:val="20"/>
              </w:rPr>
            </w:pPr>
            <w:r>
              <w:rPr>
                <w:rFonts w:ascii="Georgia" w:cs="Georgia" w:eastAsia="Georgia" w:hAnsi="Georgia"/>
                <w:sz w:val="20"/>
                <w:szCs w:val="20"/>
                <w:rtl w:val="0"/>
              </w:rPr>
              <w:t>No causal delta.</w:t>
            </w:r>
          </w:p>
        </w:tc>
        <w:tc>
          <w:tcPr>
            <w:vAlign w:val="center"/>
          </w:tcPr>
          <w:p w14:paraId="000000A2">
            <w:pPr>
              <w:rPr>
                <w:rFonts w:ascii="Georgia" w:cs="Georgia" w:eastAsia="Georgia" w:hAnsi="Georgia"/>
                <w:sz w:val="20"/>
                <w:szCs w:val="20"/>
              </w:rPr>
            </w:pPr>
            <w:r>
              <w:rPr>
                <w:rFonts w:ascii="Georgia" w:cs="Georgia" w:eastAsia="Georgia" w:hAnsi="Georgia"/>
                <w:sz w:val="20"/>
                <w:szCs w:val="20"/>
                <w:rtl w:val="0"/>
              </w:rPr>
              <w:t>No launch inference.</w:t>
            </w:r>
          </w:p>
        </w:tc>
      </w:tr>
    </w:tbl>
    <w:p w14:paraId="000000A3">
      <w:pPr>
        <w:spacing w:after="240" w:before="240" w:lineRule="auto"/>
        <w:rPr>
          <w:rFonts w:ascii="Georgia" w:cs="Georgia" w:eastAsia="Georgia" w:hAnsi="Georgia"/>
        </w:rPr>
      </w:pPr>
      <w:r>
        <w:rPr>
          <w:rFonts w:ascii="Georgia" w:cs="Georgia" w:eastAsia="Georgia" w:hAnsi="Georgia"/>
          <w:rtl w:val="0"/>
        </w:rPr>
        <w:t>No primary outcome is available because no control and treatment traffic was assigned. The observed evidence supports testing clearer next-step navigation, not a claim that the proposed treatment will improve conversion.</w:t>
      </w:r>
    </w:p>
    <w:p w14:paraId="000000A4">
      <w:pPr>
        <w:spacing w:after="160" w:line="278.00000000000006" w:lineRule="auto"/>
        <w:rPr>
          <w:rFonts w:ascii="Georgia" w:cs="Georgia" w:eastAsia="Georgia" w:hAnsi="Georgia"/>
        </w:rPr>
      </w:pPr>
      <w:r>
        <w:rPr>
          <w:rtl w:val="0"/>
        </w:rPr>
      </w:r>
    </w:p>
    <w:p w14:paraId="000000A5">
      <w:pPr>
        <w:pStyle w:val="Heading1"/>
        <w:rPr>
          <w:rFonts w:ascii="Georgia" w:cs="Georgia" w:eastAsia="Georgia" w:hAnsi="Georgia"/>
        </w:rPr>
      </w:pPr>
      <w:r>
        <w:rPr>
          <w:rFonts w:ascii="Georgia" w:cs="Georgia" w:eastAsia="Georgia" w:hAnsi="Georgia"/>
          <w:rtl w:val="0"/>
        </w:rPr>
        <w:t xml:space="preserve">Guardrail Metrics</w:t>
      </w:r>
    </w:p>
    <w:p w14:paraId="000000A6">
      <w:pPr>
        <w:rPr>
          <w:rFonts w:ascii="Georgia" w:cs="Georgia" w:eastAsia="Georgia" w:hAnsi="Georgia"/>
        </w:rPr>
      </w:pPr>
      <w:r>
        <w:rPr>
          <w:rtl w:val="0"/>
        </w:rPr>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Change w:id="0">
          <w:tblGrid>
            <w:gridCol w:w="2263"/>
            <w:gridCol w:w="1843"/>
            <w:gridCol w:w="1843"/>
            <w:gridCol w:w="1701"/>
            <w:gridCol w:w="1700"/>
          </w:tblGrid>
        </w:tblGridChange>
      </w:tblGrid>
      <w:tr>
        <w:trPr>
          <w:cantSplit w:val="0"/>
          <w:trHeight w:val="431.99999999999994" w:hRule="atLeast"/>
          <w:tblHeader w:val="0"/>
        </w:trPr>
        <w:tc>
          <w:tcPr>
            <w:shd w:fill="f3f3f3" w:val="clear"/>
            <w:vAlign w:val="center"/>
          </w:tcPr>
          <w:p w14:paraId="000000A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Guardrail Metric</w:t>
            </w:r>
          </w:p>
        </w:tc>
        <w:tc>
          <w:tcPr>
            <w:shd w:fill="f3f3f3" w:val="clear"/>
            <w:vAlign w:val="center"/>
          </w:tcPr>
          <w:p w14:paraId="000000A8">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Variant A</w:t>
            </w:r>
          </w:p>
        </w:tc>
        <w:tc>
          <w:tcPr>
            <w:shd w:fill="f3f3f3" w:val="clear"/>
            <w:vAlign w:val="center"/>
          </w:tcPr>
          <w:p w14:paraId="000000A9">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Variant B</w:t>
            </w:r>
          </w:p>
        </w:tc>
        <w:tc>
          <w:tcPr>
            <w:shd w:fill="f3f3f3" w:val="clear"/>
            <w:vAlign w:val="center"/>
          </w:tcPr>
          <w:p w14:paraId="000000A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Delta</w:t>
            </w:r>
          </w:p>
        </w:tc>
        <w:tc>
          <w:tcPr>
            <w:shd w:fill="f3f3f3" w:val="clear"/>
            <w:vAlign w:val="center"/>
          </w:tcPr>
          <w:p w14:paraId="000000A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Status</w:t>
            </w:r>
          </w:p>
        </w:tc>
      </w:tr>
      <w:tr>
        <w:trPr>
          <w:cantSplit w:val="0"/>
          <w:trHeight w:val="446.9921875" w:hRule="atLeast"/>
          <w:tblHeader w:val="0"/>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Documentation click-through</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Not run</w:t>
            </w:r>
          </w:p>
        </w:tc>
      </w:tr>
      <w:tr>
        <w:trPr>
          <w:cantSplit w:val="0"/>
          <w:trHeight w:val="446.9921875" w:hRule="atLeast"/>
          <w:tblHeader w:val="0"/>
        </w:trPr>
        <w:tc>
          <w:tcPr>
            <w:vAlign w:val="center"/>
          </w:tcPr>
          <w:p w14:paraId="000000B1">
            <w:pPr>
              <w:rPr>
                <w:rFonts w:ascii="Georgia" w:cs="Georgia" w:eastAsia="Georgia" w:hAnsi="Georgia"/>
                <w:b w:val="1"/>
                <w:bCs w:val="1"/>
                <w:sz w:val="20"/>
                <w:szCs w:val="20"/>
              </w:rPr>
            </w:pPr>
            <w:r>
              <w:rPr>
                <w:rFonts w:ascii="Georgia" w:cs="Georgia" w:eastAsia="Georgia" w:hAnsi="Georgia"/>
                <w:b w:val="1"/>
                <w:bCs w:val="1"/>
                <w:sz w:val="20"/>
                <w:szCs w:val="20"/>
                <w:rtl w:val="0"/>
              </w:rPr>
              <w:t>Boundary-section reach</w:t>
            </w:r>
          </w:p>
        </w:tc>
        <w:tc>
          <w:tcPr>
            <w:vAlign w:val="center"/>
          </w:tcPr>
          <w:p w14:paraId="000000B2">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3">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4">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5">
            <w:pPr>
              <w:rPr>
                <w:rFonts w:ascii="Georgia" w:cs="Georgia" w:eastAsia="Georgia" w:hAnsi="Georgia"/>
                <w:sz w:val="20"/>
                <w:szCs w:val="20"/>
              </w:rPr>
            </w:pPr>
            <w:r>
              <w:rPr>
                <w:rFonts w:ascii="Georgia" w:cs="Georgia" w:eastAsia="Georgia" w:hAnsi="Georgia"/>
                <w:sz w:val="20"/>
                <w:szCs w:val="20"/>
                <w:rtl w:val="0"/>
              </w:rPr>
              <w:t>Not run</w:t>
            </w:r>
          </w:p>
        </w:tc>
      </w:tr>
      <w:tr>
        <w:trPr>
          <w:cantSplit w:val="0"/>
          <w:trHeight w:val="446.9921875" w:hRule="atLeast"/>
          <w:tblHeader w:val="0"/>
        </w:trPr>
        <w:tc>
          <w:tcPr>
            <w:vAlign w:val="center"/>
          </w:tcPr>
          <w:p w14:paraId="000000B6">
            <w:pPr>
              <w:rPr>
                <w:rFonts w:ascii="Georgia" w:cs="Georgia" w:eastAsia="Georgia" w:hAnsi="Georgia"/>
                <w:b w:val="1"/>
                <w:bCs w:val="1"/>
                <w:sz w:val="20"/>
                <w:szCs w:val="20"/>
              </w:rPr>
            </w:pPr>
            <w:r>
              <w:rPr>
                <w:rFonts w:ascii="Georgia" w:cs="Georgia" w:eastAsia="Georgia" w:hAnsi="Georgia"/>
                <w:b w:val="1"/>
                <w:bCs w:val="1"/>
                <w:sz w:val="20"/>
                <w:szCs w:val="20"/>
                <w:rtl w:val="0"/>
              </w:rPr>
              <w:t>Trust/comprehension</w:t>
            </w:r>
          </w:p>
        </w:tc>
        <w:tc>
          <w:tcPr>
            <w:vAlign w:val="center"/>
          </w:tcPr>
          <w:p w14:paraId="000000B7">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8">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9">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A">
            <w:pPr>
              <w:rPr>
                <w:rFonts w:ascii="Georgia" w:cs="Georgia" w:eastAsia="Georgia" w:hAnsi="Georgia"/>
                <w:sz w:val="20"/>
                <w:szCs w:val="20"/>
              </w:rPr>
            </w:pPr>
            <w:r>
              <w:rPr>
                <w:rFonts w:ascii="Georgia" w:cs="Georgia" w:eastAsia="Georgia" w:hAnsi="Georgia"/>
                <w:sz w:val="20"/>
                <w:szCs w:val="20"/>
                <w:rtl w:val="0"/>
              </w:rPr>
              <w:t>Not run</w:t>
            </w:r>
          </w:p>
        </w:tc>
      </w:tr>
      <w:tr>
        <w:trPr>
          <w:cantSplit w:val="0"/>
          <w:trHeight w:val="446.9921875" w:hRule="atLeast"/>
          <w:tblHeader w:val="0"/>
        </w:trPr>
        <w:tc>
          <w:tcPr>
            <w:vAlign w:val="center"/>
          </w:tcPr>
          <w:p w14:paraId="000000BB">
            <w:pPr>
              <w:rPr>
                <w:rFonts w:ascii="Georgia" w:cs="Georgia" w:eastAsia="Georgia" w:hAnsi="Georgia"/>
                <w:b w:val="1"/>
                <w:bCs w:val="1"/>
                <w:sz w:val="20"/>
                <w:szCs w:val="20"/>
              </w:rPr>
            </w:pPr>
            <w:r>
              <w:rPr>
                <w:rFonts w:ascii="Georgia" w:cs="Georgia" w:eastAsia="Georgia" w:hAnsi="Georgia"/>
                <w:b w:val="1"/>
                <w:bCs w:val="1"/>
                <w:sz w:val="20"/>
                <w:szCs w:val="20"/>
                <w:rtl w:val="0"/>
              </w:rPr>
              <w:t>Mobile completion</w:t>
            </w:r>
          </w:p>
        </w:tc>
        <w:tc>
          <w:tcPr>
            <w:vAlign w:val="center"/>
          </w:tcPr>
          <w:p w14:paraId="000000BC">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D">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E">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BF">
            <w:pPr>
              <w:rPr>
                <w:rFonts w:ascii="Georgia" w:cs="Georgia" w:eastAsia="Georgia" w:hAnsi="Georgia"/>
                <w:sz w:val="20"/>
                <w:szCs w:val="20"/>
              </w:rPr>
            </w:pPr>
            <w:r>
              <w:rPr>
                <w:rFonts w:ascii="Georgia" w:cs="Georgia" w:eastAsia="Georgia" w:hAnsi="Georgia"/>
                <w:sz w:val="20"/>
                <w:szCs w:val="20"/>
                <w:rtl w:val="0"/>
              </w:rPr>
              <w:t>Not run</w:t>
            </w:r>
          </w:p>
        </w:tc>
      </w:tr>
    </w:tbl>
    <w:p w14:paraId="000000C0">
      <w:pPr>
        <w:spacing w:after="240" w:before="240" w:lineRule="auto"/>
        <w:jc w:val="both"/>
        <w:rPr>
          <w:rFonts w:ascii="Georgia" w:cs="Georgia" w:eastAsia="Georgia" w:hAnsi="Georgia"/>
        </w:rPr>
      </w:pPr>
      <w:r>
        <w:rPr>
          <w:rFonts w:ascii="Georgia" w:cs="Georgia" w:eastAsia="Georgia" w:hAnsi="Georgia"/>
          <w:rtl w:val="0"/>
        </w:rPr>
        <w:t>No guardrail metrics were collected. The treatment must preserve the page’s explicit permission limits, illustrative labels, and the current route to architecture, product boundary, operations, and English documentation.</w:t>
      </w:r>
    </w:p>
    <w:p w14:paraId="000000C1">
      <w:pPr>
        <w:pStyle w:val="Heading1"/>
        <w:rPr>
          <w:rFonts w:ascii="Georgia" w:cs="Georgia" w:eastAsia="Georgia" w:hAnsi="Georgia"/>
        </w:rPr>
      </w:pPr>
      <w:r>
        <w:rPr>
          <w:rFonts w:ascii="Georgia" w:cs="Georgia" w:eastAsia="Georgia" w:hAnsi="Georgia"/>
          <w:rtl w:val="0"/>
        </w:rPr>
        <w:t xml:space="preserve">Segment Results</w:t>
      </w:r>
    </w:p>
    <w:p w14:paraId="000000C2">
      <w:pPr>
        <w:spacing w:after="240" w:before="240" w:lineRule="auto"/>
        <w:jc w:val="both"/>
        <w:rPr>
          <w:rFonts w:ascii="Georgia" w:cs="Georgia" w:eastAsia="Georgia" w:hAnsi="Georgia"/>
        </w:rPr>
      </w:pPr>
      <w:r>
        <w:rPr>
          <w:rFonts w:ascii="Georgia" w:cs="Georgia" w:eastAsia="Georgia" w:hAnsi="Georgia"/>
          <w:rtl w:val="0"/>
        </w:rPr>
        <w:t>Directional segments for the follow-up are first-time desktop visitors, first-time mobile visitors, and visitors who arrive from documentation or GitHub. These segments are useful for interpretation but are not powered or pre-registered yet.</w:t>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C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Segment</w:t>
            </w:r>
          </w:p>
        </w:tc>
        <w:tc>
          <w:tcPr>
            <w:shd w:fill="f3f3f3" w:val="clear"/>
            <w:vAlign w:val="center"/>
          </w:tcPr>
          <w:p w14:paraId="000000C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Control Value</w:t>
            </w:r>
          </w:p>
        </w:tc>
        <w:tc>
          <w:tcPr>
            <w:shd w:fill="f3f3f3" w:val="clear"/>
            <w:vAlign w:val="center"/>
          </w:tcPr>
          <w:p w14:paraId="000000C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Treatment Value</w:t>
            </w:r>
          </w:p>
        </w:tc>
        <w:tc>
          <w:tcPr>
            <w:shd w:fill="f3f3f3" w:val="clear"/>
            <w:vAlign w:val="center"/>
          </w:tcPr>
          <w:p w14:paraId="000000C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Absolute Delta</w:t>
            </w:r>
          </w:p>
        </w:tc>
        <w:tc>
          <w:tcPr>
            <w:shd w:fill="f3f3f3" w:val="clear"/>
            <w:vAlign w:val="center"/>
          </w:tcPr>
          <w:p w14:paraId="000000C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Interpretation</w:t>
            </w:r>
          </w:p>
        </w:tc>
      </w:tr>
      <w:tr>
        <w:trPr>
          <w:cantSplit w:val="0"/>
          <w:trHeight w:val="431.99999999999994" w:hRule="atLeast"/>
          <w:tblHeader w:val="0"/>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First-time desktop</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Directional segment; not powered.</w:t>
            </w:r>
          </w:p>
        </w:tc>
      </w:tr>
      <w:tr>
        <w:trPr>
          <w:cantSplit w:val="0"/>
          <w:trHeight w:val="431.99999999999994" w:hRule="atLeast"/>
          <w:tblHeader w:val="0"/>
        </w:trPr>
        <w:tc>
          <w:tcPr>
            <w:vAlign w:val="center"/>
          </w:tcPr>
          <w:p w14:paraId="000000CD">
            <w:pPr>
              <w:rPr>
                <w:rFonts w:ascii="Georgia" w:cs="Georgia" w:eastAsia="Georgia" w:hAnsi="Georgia"/>
                <w:b w:val="1"/>
                <w:bCs w:val="1"/>
                <w:sz w:val="20"/>
                <w:szCs w:val="20"/>
              </w:rPr>
            </w:pPr>
            <w:r>
              <w:rPr>
                <w:rFonts w:ascii="Georgia" w:cs="Georgia" w:eastAsia="Georgia" w:hAnsi="Georgia"/>
                <w:b w:val="1"/>
                <w:bCs w:val="1"/>
                <w:sz w:val="20"/>
                <w:szCs w:val="20"/>
                <w:rtl w:val="0"/>
              </w:rPr>
              <w:t>First-time mobile</w:t>
            </w:r>
          </w:p>
        </w:tc>
        <w:tc>
          <w:tcPr>
            <w:vAlign w:val="center"/>
          </w:tcPr>
          <w:p w14:paraId="000000CE">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CF">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0">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1">
            <w:pPr>
              <w:rPr>
                <w:rFonts w:ascii="Georgia" w:cs="Georgia" w:eastAsia="Georgia" w:hAnsi="Georgia"/>
                <w:sz w:val="20"/>
                <w:szCs w:val="20"/>
              </w:rPr>
            </w:pPr>
            <w:r>
              <w:rPr>
                <w:rFonts w:ascii="Georgia" w:cs="Georgia" w:eastAsia="Georgia" w:hAnsi="Georgia"/>
                <w:sz w:val="20"/>
                <w:szCs w:val="20"/>
                <w:rtl w:val="0"/>
              </w:rPr>
              <w:t>Highest layout and tap-target risk; verify.</w:t>
            </w:r>
          </w:p>
        </w:tc>
      </w:tr>
      <w:tr>
        <w:trPr>
          <w:cantSplit w:val="0"/>
          <w:trHeight w:val="431.99999999999994" w:hRule="atLeast"/>
          <w:tblHeader w:val="0"/>
        </w:trPr>
        <w:tc>
          <w:tcPr>
            <w:vAlign w:val="center"/>
          </w:tcPr>
          <w:p w14:paraId="000000D2">
            <w:pPr>
              <w:rPr>
                <w:rFonts w:ascii="Georgia" w:cs="Georgia" w:eastAsia="Georgia" w:hAnsi="Georgia"/>
                <w:b w:val="1"/>
                <w:bCs w:val="1"/>
                <w:sz w:val="20"/>
                <w:szCs w:val="20"/>
              </w:rPr>
            </w:pPr>
            <w:r>
              <w:rPr>
                <w:rFonts w:ascii="Georgia" w:cs="Georgia" w:eastAsia="Georgia" w:hAnsi="Georgia"/>
                <w:b w:val="1"/>
                <w:bCs w:val="1"/>
                <w:sz w:val="20"/>
                <w:szCs w:val="20"/>
                <w:rtl w:val="0"/>
              </w:rPr>
              <w:t>Documentation / GitHub referral</w:t>
            </w:r>
          </w:p>
        </w:tc>
        <w:tc>
          <w:tcPr>
            <w:vAlign w:val="center"/>
          </w:tcPr>
          <w:p w14:paraId="000000D3">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4">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5">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6">
            <w:pPr>
              <w:rPr>
                <w:rFonts w:ascii="Georgia" w:cs="Georgia" w:eastAsia="Georgia" w:hAnsi="Georgia"/>
                <w:sz w:val="20"/>
                <w:szCs w:val="20"/>
              </w:rPr>
            </w:pPr>
            <w:r>
              <w:rPr>
                <w:rFonts w:ascii="Georgia" w:cs="Georgia" w:eastAsia="Georgia" w:hAnsi="Georgia"/>
                <w:sz w:val="20"/>
                <w:szCs w:val="20"/>
                <w:rtl w:val="0"/>
              </w:rPr>
              <w:t>Check whether intent changes CTA behavior.</w:t>
            </w:r>
          </w:p>
        </w:tc>
      </w:tr>
      <w:tr>
        <w:trPr>
          <w:cantSplit w:val="0"/>
          <w:trHeight w:val="431.99999999999994" w:hRule="atLeast"/>
          <w:tblHeader w:val="0"/>
        </w:trPr>
        <w:tc>
          <w:tcPr>
            <w:vAlign w:val="center"/>
          </w:tcPr>
          <w:p w14:paraId="000000D7">
            <w:pPr>
              <w:rPr>
                <w:rFonts w:ascii="Georgia" w:cs="Georgia" w:eastAsia="Georgia" w:hAnsi="Georgia"/>
                <w:b w:val="1"/>
                <w:bCs w:val="1"/>
                <w:sz w:val="20"/>
                <w:szCs w:val="20"/>
              </w:rPr>
            </w:pPr>
            <w:r>
              <w:rPr>
                <w:rFonts w:ascii="Georgia" w:cs="Georgia" w:eastAsia="Georgia" w:hAnsi="Georgia"/>
                <w:b w:val="1"/>
                <w:bCs w:val="1"/>
                <w:sz w:val="20"/>
                <w:szCs w:val="20"/>
                <w:rtl w:val="0"/>
              </w:rPr>
              <w:t>Returning visitor</w:t>
            </w:r>
          </w:p>
        </w:tc>
        <w:tc>
          <w:tcPr>
            <w:vAlign w:val="center"/>
          </w:tcPr>
          <w:p w14:paraId="000000D8">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9">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A">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B">
            <w:pPr>
              <w:rPr>
                <w:rFonts w:ascii="Georgia" w:cs="Georgia" w:eastAsia="Georgia" w:hAnsi="Georgia"/>
                <w:sz w:val="20"/>
                <w:szCs w:val="20"/>
              </w:rPr>
            </w:pPr>
            <w:r>
              <w:rPr>
                <w:rFonts w:ascii="Georgia" w:cs="Georgia" w:eastAsia="Georgia" w:hAnsi="Georgia"/>
                <w:sz w:val="20"/>
                <w:szCs w:val="20"/>
                <w:rtl w:val="0"/>
              </w:rPr>
              <w:t>Not a primary audience for this test.</w:t>
            </w:r>
          </w:p>
        </w:tc>
      </w:tr>
      <w:tr>
        <w:trPr>
          <w:cantSplit w:val="0"/>
          <w:trHeight w:val="431.99999999999994" w:hRule="atLeast"/>
          <w:tblHeader w:val="0"/>
        </w:trPr>
        <w:tc>
          <w:tcPr>
            <w:vAlign w:val="center"/>
          </w:tcPr>
          <w:p w14:paraId="000000DC">
            <w:pPr>
              <w:rPr>
                <w:rFonts w:ascii="Georgia" w:cs="Georgia" w:eastAsia="Georgia" w:hAnsi="Georgia"/>
                <w:b w:val="1"/>
                <w:bCs w:val="1"/>
                <w:sz w:val="20"/>
                <w:szCs w:val="20"/>
              </w:rPr>
            </w:pPr>
            <w:r>
              <w:rPr>
                <w:rFonts w:ascii="Georgia" w:cs="Georgia" w:eastAsia="Georgia" w:hAnsi="Georgia"/>
                <w:b w:val="1"/>
                <w:bCs w:val="1"/>
                <w:sz w:val="20"/>
                <w:szCs w:val="20"/>
                <w:rtl w:val="0"/>
              </w:rPr>
              <w:t>Assistive technology</w:t>
            </w:r>
          </w:p>
        </w:tc>
        <w:tc>
          <w:tcPr>
            <w:vAlign w:val="center"/>
          </w:tcPr>
          <w:p w14:paraId="000000DD">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E">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DF">
            <w:pPr>
              <w:rPr>
                <w:rFonts w:ascii="Georgia" w:cs="Georgia" w:eastAsia="Georgia" w:hAnsi="Georgia"/>
                <w:sz w:val="20"/>
                <w:szCs w:val="20"/>
              </w:rPr>
            </w:pPr>
            <w:r>
              <w:rPr>
                <w:rFonts w:ascii="Georgia" w:cs="Georgia" w:eastAsia="Georgia" w:hAnsi="Georgia"/>
                <w:sz w:val="20"/>
                <w:szCs w:val="20"/>
                <w:rtl w:val="0"/>
              </w:rPr>
              <w:t>N/A</w:t>
            </w:r>
          </w:p>
        </w:tc>
        <w:tc>
          <w:tcPr>
            <w:vAlign w:val="center"/>
          </w:tcPr>
          <w:p w14:paraId="000000E0">
            <w:pPr>
              <w:rPr>
                <w:rFonts w:ascii="Georgia" w:cs="Georgia" w:eastAsia="Georgia" w:hAnsi="Georgia"/>
                <w:sz w:val="20"/>
                <w:szCs w:val="20"/>
              </w:rPr>
            </w:pPr>
            <w:r>
              <w:rPr>
                <w:rFonts w:ascii="Georgia" w:cs="Georgia" w:eastAsia="Georgia" w:hAnsi="Georgia"/>
                <w:sz w:val="20"/>
                <w:szCs w:val="20"/>
                <w:rtl w:val="0"/>
              </w:rPr>
              <w:t>Accessibility review required before launch.</w:t>
            </w:r>
          </w:p>
        </w:tc>
      </w:tr>
    </w:tbl>
    <w:p w14:paraId="000000E1">
      <w:pPr>
        <w:rPr>
          <w:rFonts w:ascii="Georgia" w:cs="Georgia" w:eastAsia="Georgia" w:hAnsi="Georgia"/>
        </w:rPr>
      </w:pPr>
      <w:r>
        <w:rPr>
          <w:rtl w:val="0"/>
        </w:rPr>
      </w:r>
    </w:p>
    <w:p w14:paraId="000000E2">
      <w:pPr>
        <w:spacing w:after="240" w:before="240" w:lineRule="auto"/>
        <w:jc w:val="both"/>
        <w:rPr>
          <w:rFonts w:ascii="Georgia" w:cs="Georgia" w:eastAsia="Georgia" w:hAnsi="Georgia"/>
        </w:rPr>
      </w:pPr>
      <w:r>
        <w:rPr>
          <w:rFonts w:ascii="Georgia" w:cs="Georgia" w:eastAsia="Georgia" w:hAnsi="Georgia"/>
          <w:rtl w:val="0"/>
        </w:rPr>
        <w:t>The qualitative review suggests mobile visitors face the highest navigation and tap-target risk because the page is long and the primary action is implicit. Treat this as a design hypothesis until event data and a mobile review are captured.</w:t>
      </w:r>
    </w:p>
    <w:p w14:paraId="000000E3">
      <w:pPr>
        <w:spacing w:after="240" w:before="240" w:lineRule="auto"/>
        <w:jc w:val="both"/>
        <w:rPr>
          <w:rFonts w:ascii="Georgia" w:cs="Georgia" w:eastAsia="Georgia" w:hAnsi="Georgia"/>
        </w:rPr>
      </w:pPr>
      <w:r>
        <w:rPr>
          <w:rtl w:val="0"/>
        </w:rPr>
      </w:r>
    </w:p>
    <w:p w14:paraId="000000E4">
      <w:pPr>
        <w:pStyle w:val="Heading1"/>
        <w:rPr>
          <w:rFonts w:ascii="Georgia" w:cs="Georgia" w:eastAsia="Georgia" w:hAnsi="Georgia"/>
        </w:rPr>
      </w:pPr>
      <w:r>
        <w:rPr>
          <w:rFonts w:ascii="Georgia" w:cs="Georgia" w:eastAsia="Georgia" w:hAnsi="Georgia"/>
          <w:rtl w:val="0"/>
        </w:rPr>
        <w:t xml:space="preserve">Data Quality and Limitations</w:t>
      </w:r>
    </w:p>
    <w:p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The page may change alongside the homepage, documentation, or product claims during the follow-up window.</w:t>
      </w:r>
      <w:r>
        <w:rPr>
          <w:rtl w:val="0"/>
        </w:rPr>
      </w:r>
    </w:p>
    <w:p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Traffic source and device mix are unknown in the baseline and could change the apparent CTA rate.</w:t>
      </w:r>
      <w:r>
        <w:rPr>
          <w:rtl w:val="0"/>
        </w:rPr>
      </w:r>
    </w:p>
    <w:p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No analytics, warehouse, or event-pipeline evidence was supplied for this review.</w:t>
      </w:r>
      <w:r>
        <w:rPr>
          <w:rtl w:val="0"/>
        </w:rPr>
      </w:r>
    </w:p>
    <w:p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The review covers one public URL and one dated snapshot. It does not establish behavior across geographies, browsers, or assistive technologies.</w:t>
      </w:r>
      <w:r>
        <w:rPr>
          <w:rtl w:val="0"/>
        </w:rPr>
      </w:r>
    </w:p>
    <w:p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A CTA that sounds like an immediate product action could overpromise access. Any treatment must keep the existing illustrative and permission-boundary language visible.</w:t>
      </w:r>
      <w:r>
        <w:rPr>
          <w:rtl w:val="0"/>
        </w:rPr>
      </w:r>
    </w:p>
    <w:p w14:paraId="000000EA">
      <w:pPr>
        <w:spacing w:after="240" w:before="240" w:lineRule="auto"/>
        <w:jc w:val="both"/>
        <w:rPr>
          <w:rFonts w:ascii="Georgia" w:cs="Georgia" w:eastAsia="Georgia" w:hAnsi="Georgia"/>
        </w:rPr>
      </w:pPr>
      <w:r>
        <w:rPr>
          <w:rFonts w:ascii="Georgia" w:cs="Georgia" w:eastAsia="Georgia" w:hAnsi="Georgia"/>
          <w:rtl w:val="0"/>
        </w:rPr>
        <w:t>These limits mean the recommendation is to instrument and test a reversible navigation change. It should not be generalized to product adoption, revenue, or agent quality.</w:t>
      </w:r>
    </w:p>
    <w:p w14:paraId="000000EB">
      <w:pPr>
        <w:spacing w:after="240" w:before="240" w:lineRule="auto"/>
        <w:jc w:val="both"/>
        <w:rPr>
          <w:rFonts w:ascii="Georgia" w:cs="Georgia" w:eastAsia="Georgia" w:hAnsi="Georgia"/>
        </w:rPr>
      </w:pPr>
      <w:r>
        <w:rPr>
          <w:rtl w:val="0"/>
        </w:rPr>
      </w:r>
    </w:p>
    <w:p w14:paraId="000000EC">
      <w:pPr>
        <w:pStyle w:val="Heading1"/>
        <w:rPr>
          <w:rFonts w:ascii="Georgia" w:cs="Georgia" w:eastAsia="Georgia" w:hAnsi="Georgia"/>
        </w:rPr>
      </w:pPr>
      <w:r>
        <w:rPr>
          <w:rFonts w:ascii="Georgia" w:cs="Georgia" w:eastAsia="Georgia" w:hAnsi="Georgia"/>
          <w:rtl w:val="0"/>
        </w:rPr>
        <w:t xml:space="preserve">Interpretation</w:t>
      </w:r>
    </w:p>
    <w:p w14:paraId="000000ED">
      <w:pPr>
        <w:spacing w:after="240" w:before="240" w:lineRule="auto"/>
        <w:jc w:val="both"/>
        <w:rPr>
          <w:rFonts w:ascii="Georgia" w:cs="Georgia" w:eastAsia="Georgia" w:hAnsi="Georgia"/>
        </w:rPr>
      </w:pPr>
      <w:r>
        <w:rPr>
          <w:rFonts w:ascii="Georgia" w:cs="Georgia" w:eastAsia="Georgia" w:hAnsi="Georgia"/>
          <w:rtl w:val="0"/>
        </w:rPr>
        <w:t>The page is coherent and specific as a boundary explainer: the six-step chain, scenario cards, permission scopes, receipt, and offline behavior reinforce one product story. The hypothesis targets a narrower gap between understanding the page and knowing what to do next.</w:t>
      </w:r>
    </w:p>
    <w:p w14:paraId="000000EE">
      <w:pPr>
        <w:spacing w:after="240" w:before="240" w:lineRule="auto"/>
        <w:jc w:val="both"/>
        <w:rPr>
          <w:rFonts w:ascii="Georgia" w:cs="Georgia" w:eastAsia="Georgia" w:hAnsi="Georgia"/>
        </w:rPr>
      </w:pPr>
      <w:r>
        <w:rPr>
          <w:rFonts w:ascii="Georgia" w:cs="Georgia" w:eastAsia="Georgia" w:hAnsi="Georgia"/>
          <w:rtl w:val="0"/>
        </w:rPr>
        <w:t>The likely upside is improved orientation for first-time visitors at low implementation risk. The cost is analytics work and a possible increase in low-intent clicks. The evidence supports a hold-and-test posture until a controlled read is available.</w:t>
      </w:r>
    </w:p>
    <w:p w14:paraId="000000EF">
      <w:pPr>
        <w:spacing w:after="160" w:line="278.00000000000006" w:lineRule="auto"/>
        <w:rPr>
          <w:rFonts w:ascii="Georgia" w:cs="Georgia" w:eastAsia="Georgia" w:hAnsi="Georgia"/>
        </w:rPr>
      </w:pPr>
      <w:r>
        <w:rPr>
          <w:rtl w:val="0"/>
        </w:rPr>
      </w:r>
    </w:p>
    <w:p w14:paraId="000000F0">
      <w:pPr>
        <w:pStyle w:val="Heading1"/>
        <w:rPr>
          <w:rFonts w:ascii="Georgia" w:cs="Georgia" w:eastAsia="Georgia" w:hAnsi="Georgia"/>
        </w:rPr>
      </w:pPr>
      <w:r>
        <w:rPr>
          <w:rFonts w:ascii="Georgia" w:cs="Georgia" w:eastAsia="Georgia" w:hAnsi="Georgia"/>
          <w:rtl w:val="0"/>
        </w:rPr>
        <w:t xml:space="preserve">Decision Log</w:t>
      </w:r>
    </w:p>
    <w:p w14:paraId="000000F1">
      <w:pPr>
        <w:rPr>
          <w:rFonts w:ascii="Georgia" w:cs="Georgia" w:eastAsia="Georgia" w:hAnsi="Georgia"/>
        </w:rPr>
      </w:pPr>
      <w:r>
        <w:rPr>
          <w:rtl w:val="0"/>
        </w:rPr>
      </w:r>
    </w:p>
    <w:tbl>
      <w:tblPr>
        <w:tblStyle w:val="Table8"/>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7087"/>
        <w:tblGridChange w:id="0">
          <w:tblGrid>
            <w:gridCol w:w="2263"/>
            <w:gridCol w:w="7087"/>
          </w:tblGrid>
        </w:tblGridChange>
      </w:tblGrid>
      <w:tr>
        <w:trPr>
          <w:cantSplit w:val="0"/>
          <w:trHeight w:val="431.99999999999994" w:hRule="atLeast"/>
          <w:tblHeader w:val="0"/>
        </w:trPr>
        <w:tc>
          <w:tcPr>
            <w:shd w:fill="f3f3f3" w:val="clear"/>
            <w:vAlign w:val="center"/>
          </w:tcPr>
          <w:p w14:paraId="000000F2">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Item</w:t>
            </w:r>
          </w:p>
        </w:tc>
        <w:tc>
          <w:tcPr>
            <w:shd w:fill="f3f3f3" w:val="clear"/>
            <w:vAlign w:val="center"/>
          </w:tcPr>
          <w:p w14:paraId="000000F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Decision</w:t>
            </w:r>
          </w:p>
        </w:tc>
      </w:tr>
      <w:tr>
        <w:trPr>
          <w:cantSplit w:val="0"/>
          <w:trHeight w:val="431.99999999999994" w:hRule="atLeast"/>
          <w:tblHeader w:val="0"/>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Final Decision</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Hold; instrument and run a reversible navigation experiment.</w:t>
            </w:r>
          </w:p>
        </w:tc>
      </w:tr>
      <w:tr>
        <w:trPr>
          <w:cantSplit w:val="0"/>
          <w:trHeight w:val="431.99999999999994" w:hRule="atLeast"/>
          <w:tblHeader w:val="0"/>
        </w:trPr>
        <w:tc>
          <w:tcPr>
            <w:vAlign w:val="center"/>
          </w:tcPr>
          <w:p w14:paraId="000000F6">
            <w:pPr>
              <w:rPr>
                <w:rFonts w:ascii="Georgia" w:cs="Georgia" w:eastAsia="Georgia" w:hAnsi="Georgia"/>
                <w:b w:val="1"/>
                <w:bCs w:val="1"/>
                <w:sz w:val="20"/>
                <w:szCs w:val="20"/>
              </w:rPr>
            </w:pPr>
            <w:r>
              <w:rPr>
                <w:rFonts w:ascii="Georgia" w:cs="Georgia" w:eastAsia="Georgia" w:hAnsi="Georgia"/>
                <w:b w:val="1"/>
                <w:bCs w:val="1"/>
                <w:sz w:val="20"/>
                <w:szCs w:val="20"/>
                <w:rtl w:val="0"/>
              </w:rPr>
              <w:t>Decision Date</w:t>
            </w:r>
          </w:p>
        </w:tc>
        <w:tc>
          <w:tcPr>
            <w:vAlign w:val="center"/>
          </w:tcPr>
          <w:p w14:paraId="000000F7">
            <w:pPr>
              <w:jc w:val="both"/>
              <w:rPr>
                <w:rFonts w:ascii="Georgia" w:cs="Georgia" w:eastAsia="Georgia" w:hAnsi="Georgia"/>
                <w:sz w:val="20"/>
                <w:szCs w:val="20"/>
              </w:rPr>
            </w:pPr>
            <w:r>
              <w:rPr>
                <w:rFonts w:ascii="Georgia" w:cs="Georgia" w:eastAsia="Georgia" w:hAnsi="Georgia"/>
                <w:sz w:val="20"/>
                <w:szCs w:val="20"/>
                <w:rtl w:val="0"/>
              </w:rPr>
              <w:t>October 12, 2026</w:t>
            </w:r>
          </w:p>
        </w:tc>
      </w:tr>
      <w:tr>
        <w:trPr>
          <w:cantSplit w:val="0"/>
          <w:trHeight w:val="431.99999999999994" w:hRule="atLeast"/>
          <w:tblHeader w:val="0"/>
        </w:trPr>
        <w:tc>
          <w:tcPr>
            <w:vAlign w:val="center"/>
          </w:tcPr>
          <w:p w14:paraId="000000F8">
            <w:pPr>
              <w:rPr>
                <w:rFonts w:ascii="Georgia" w:cs="Georgia" w:eastAsia="Georgia" w:hAnsi="Georgia"/>
                <w:b w:val="1"/>
                <w:bCs w:val="1"/>
                <w:sz w:val="20"/>
                <w:szCs w:val="20"/>
              </w:rPr>
            </w:pPr>
            <w:r>
              <w:rPr>
                <w:rFonts w:ascii="Georgia" w:cs="Georgia" w:eastAsia="Georgia" w:hAnsi="Georgia"/>
                <w:b w:val="1"/>
                <w:bCs w:val="1"/>
                <w:sz w:val="20"/>
                <w:szCs w:val="20"/>
                <w:rtl w:val="0"/>
              </w:rPr>
              <w:t>Approvers</w:t>
            </w:r>
          </w:p>
        </w:tc>
        <w:tc>
          <w:tcPr>
            <w:vAlign w:val="center"/>
          </w:tcPr>
          <w:p w14:paraId="000000F9">
            <w:pPr>
              <w:jc w:val="both"/>
              <w:rPr>
                <w:rFonts w:ascii="Georgia" w:cs="Georgia" w:eastAsia="Georgia" w:hAnsi="Georgia"/>
                <w:sz w:val="20"/>
                <w:szCs w:val="20"/>
              </w:rPr>
            </w:pPr>
            <w:r>
              <w:rPr>
                <w:rFonts w:ascii="Georgia" w:cs="Georgia" w:eastAsia="Georgia" w:hAnsi="Georgia"/>
                <w:sz w:val="20"/>
                <w:szCs w:val="20"/>
                <w:rtl w:val="0"/>
              </w:rPr>
              <w:t>Pending product and design review.</w:t>
            </w:r>
          </w:p>
        </w:tc>
      </w:tr>
      <w:tr>
        <w:trPr>
          <w:cantSplit w:val="0"/>
          <w:trHeight w:val="431.99999999999994" w:hRule="atLeast"/>
          <w:tblHeader w:val="0"/>
        </w:trPr>
        <w:tc>
          <w:tcPr>
            <w:vAlign w:val="center"/>
          </w:tcPr>
          <w:p w14:paraId="000000FA">
            <w:pPr>
              <w:rPr>
                <w:rFonts w:ascii="Georgia" w:cs="Georgia" w:eastAsia="Georgia" w:hAnsi="Georgia"/>
                <w:b w:val="1"/>
                <w:bCs w:val="1"/>
                <w:sz w:val="20"/>
                <w:szCs w:val="20"/>
              </w:rPr>
            </w:pPr>
            <w:r>
              <w:rPr>
                <w:rFonts w:ascii="Georgia" w:cs="Georgia" w:eastAsia="Georgia" w:hAnsi="Georgia"/>
                <w:b w:val="1"/>
                <w:bCs w:val="1"/>
                <w:sz w:val="20"/>
                <w:szCs w:val="20"/>
                <w:rtl w:val="0"/>
              </w:rPr>
              <w:t>Rollout Type</w:t>
            </w:r>
          </w:p>
        </w:tc>
        <w:tc>
          <w:tcPr>
            <w:vAlign w:val="center"/>
          </w:tcPr>
          <w:p w14:paraId="000000FB">
            <w:pPr>
              <w:jc w:val="both"/>
              <w:rPr>
                <w:rFonts w:ascii="Georgia" w:cs="Georgia" w:eastAsia="Georgia" w:hAnsi="Georgia"/>
                <w:sz w:val="20"/>
                <w:szCs w:val="20"/>
              </w:rPr>
            </w:pPr>
            <w:r>
              <w:rPr>
                <w:rFonts w:ascii="Georgia" w:cs="Georgia" w:eastAsia="Georgia" w:hAnsi="Georgia"/>
                <w:sz w:val="20"/>
                <w:szCs w:val="20"/>
                <w:rtl w:val="0"/>
              </w:rPr>
              <w:t>No rollout; proposed treatment only.</w:t>
            </w:r>
          </w:p>
        </w:tc>
      </w:tr>
      <w:tr>
        <w:trPr>
          <w:cantSplit w:val="0"/>
          <w:trHeight w:val="431.99999999999994" w:hRule="atLeast"/>
          <w:tblHeader w:val="0"/>
        </w:trPr>
        <w:tc>
          <w:tcPr>
            <w:vAlign w:val="center"/>
          </w:tcPr>
          <w:p w14:paraId="000000FC">
            <w:pPr>
              <w:rPr>
                <w:rFonts w:ascii="Georgia" w:cs="Georgia" w:eastAsia="Georgia" w:hAnsi="Georgia"/>
                <w:b w:val="1"/>
                <w:bCs w:val="1"/>
                <w:sz w:val="20"/>
                <w:szCs w:val="20"/>
              </w:rPr>
            </w:pPr>
            <w:r>
              <w:rPr>
                <w:rFonts w:ascii="Georgia" w:cs="Georgia" w:eastAsia="Georgia" w:hAnsi="Georgia"/>
                <w:b w:val="1"/>
                <w:bCs w:val="1"/>
                <w:sz w:val="20"/>
                <w:szCs w:val="20"/>
                <w:rtl w:val="0"/>
              </w:rPr>
              <w:t>Rollback Trigger</w:t>
            </w:r>
          </w:p>
        </w:tc>
        <w:tc>
          <w:tcPr>
            <w:vAlign w:val="center"/>
          </w:tcPr>
          <w:p w14:paraId="000000FD">
            <w:pPr>
              <w:jc w:val="both"/>
              <w:rPr>
                <w:rFonts w:ascii="Georgia" w:cs="Georgia" w:eastAsia="Georgia" w:hAnsi="Georgia"/>
                <w:sz w:val="20"/>
                <w:szCs w:val="20"/>
              </w:rPr>
            </w:pPr>
            <w:r>
              <w:rPr>
                <w:rFonts w:ascii="Georgia" w:cs="Georgia" w:eastAsia="Georgia" w:hAnsi="Georgia"/>
                <w:sz w:val="20"/>
                <w:szCs w:val="20"/>
                <w:rtl w:val="0"/>
              </w:rPr>
              <w:t>Any material trust, accessibility, or guardrail regression.</w:t>
            </w:r>
          </w:p>
        </w:tc>
      </w:tr>
      <w:tr>
        <w:trPr>
          <w:cantSplit w:val="0"/>
          <w:trHeight w:val="431.99999999999994" w:hRule="atLeast"/>
          <w:tblHeader w:val="0"/>
        </w:trPr>
        <w:tc>
          <w:tcPr>
            <w:vAlign w:val="center"/>
          </w:tcPr>
          <w:p w14:paraId="000000FE">
            <w:pPr>
              <w:rPr>
                <w:rFonts w:ascii="Georgia" w:cs="Georgia" w:eastAsia="Georgia" w:hAnsi="Georgia"/>
                <w:b w:val="1"/>
                <w:bCs w:val="1"/>
                <w:sz w:val="20"/>
                <w:szCs w:val="20"/>
              </w:rPr>
            </w:pPr>
            <w:r>
              <w:rPr>
                <w:rFonts w:ascii="Georgia" w:cs="Georgia" w:eastAsia="Georgia" w:hAnsi="Georgia"/>
                <w:b w:val="1"/>
                <w:bCs w:val="1"/>
                <w:sz w:val="20"/>
                <w:szCs w:val="20"/>
                <w:rtl w:val="0"/>
              </w:rPr>
              <w:t>Follow Up</w:t>
            </w:r>
          </w:p>
        </w:tc>
        <w:tc>
          <w:tcPr>
            <w:vAlign w:val="center"/>
          </w:tcPr>
          <w:p w14:paraId="000000FF">
            <w:pPr>
              <w:jc w:val="both"/>
              <w:rPr>
                <w:rFonts w:ascii="Georgia" w:cs="Georgia" w:eastAsia="Georgia" w:hAnsi="Georgia"/>
                <w:sz w:val="20"/>
                <w:szCs w:val="20"/>
              </w:rPr>
            </w:pPr>
            <w:r>
              <w:rPr>
                <w:rFonts w:ascii="Georgia" w:cs="Georgia" w:eastAsia="Georgia" w:hAnsi="Georgia"/>
                <w:sz w:val="20"/>
                <w:szCs w:val="20"/>
                <w:rtl w:val="0"/>
              </w:rPr>
              <w:t>Define CTA destination, instrument events, validate responsive behavior, then rerun analysis.</w:t>
            </w:r>
          </w:p>
        </w:tc>
      </w:tr>
    </w:tbl>
    <w:p w14:paraId="00000100">
      <w:pPr>
        <w:rPr>
          <w:rFonts w:ascii="Georgia" w:cs="Georgia" w:eastAsia="Georgia" w:hAnsi="Georgia"/>
        </w:rPr>
      </w:pPr>
      <w:r>
        <w:rPr>
          <w:rtl w:val="0"/>
        </w:rPr>
      </w:r>
    </w:p>
    <w:p w14:paraId="00000101">
      <w:pPr>
        <w:pStyle w:val="Heading1"/>
        <w:rPr>
          <w:rFonts w:ascii="Georgia" w:cs="Georgia" w:eastAsia="Georgia" w:hAnsi="Georgia"/>
        </w:rPr>
      </w:pPr>
      <w:r>
        <w:rPr>
          <w:rFonts w:ascii="Georgia" w:cs="Georgia" w:eastAsia="Georgia" w:hAnsi="Georgia"/>
          <w:rtl w:val="0"/>
        </w:rPr>
        <w:t xml:space="preserve">Post Test Actions</w:t>
      </w:r>
    </w:p>
    <w:p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Define the CTA destination and event schema, implement the treatment behind a reversible flag, validate desktop and mobile focus states, then run the planned allocation.</w:t>
      </w:r>
      <w:r>
        <w:rPr>
          <w:rtl w:val="0"/>
        </w:rPr>
      </w:r>
    </w:p>
    <w:p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Monitor primary CTA click-through daily, guardrails at least daily, and qualitative trust/comprehension feedback at the end of the test window.</w:t>
      </w:r>
      <w:r>
        <w:rPr>
          <w:rtl w:val="0"/>
        </w:rPr>
      </w:r>
    </w:p>
    <w:p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Replicate any positive result on the English page and test whether a short “choose your next step” row outperforms a single CTA.</w:t>
      </w:r>
      <w:r>
        <w:rPr>
          <w:rtl w:val="0"/>
        </w:rPr>
      </w:r>
    </w:p>
    <w:p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Review documentation entry quality, downstream GitHub or product visits, and whether visitors reach the boundary section before clicking.</w:t>
      </w:r>
      <w:r>
        <w:rPr>
          <w:rtl w:val="0"/>
        </w:rPr>
      </w:r>
    </w:p>
    <w:p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Archive assignment rules, event definitions, screenshots, detector output, and the final decision with the page commit that was tested.</w:t>
      </w:r>
      <w:r>
        <w:rPr>
          <w:rtl w:val="0"/>
        </w:rPr>
      </w:r>
    </w:p>
    <w:p w14:paraId="00000107">
      <w:pPr>
        <w:spacing w:after="240" w:before="240" w:lineRule="auto"/>
        <w:jc w:val="both"/>
        <w:rPr>
          <w:rFonts w:ascii="Georgia" w:cs="Georgia" w:eastAsia="Georgia" w:hAnsi="Georgia"/>
        </w:rPr>
      </w:pPr>
      <w:r>
        <w:rPr>
          <w:rtl w:val="0"/>
        </w:rPr>
      </w:r>
    </w:p>
    <w:p w14:paraId="00000108">
      <w:pPr>
        <w:pStyle w:val="Heading1"/>
        <w:rPr>
          <w:rFonts w:ascii="Georgia" w:cs="Georgia" w:eastAsia="Georgia" w:hAnsi="Georgia"/>
        </w:rPr>
      </w:pPr>
      <w:r>
        <w:rPr>
          <w:rFonts w:ascii="Georgia" w:cs="Georgia" w:eastAsia="Georgia" w:hAnsi="Georgia"/>
          <w:rtl w:val="0"/>
        </w:rPr>
        <w:t xml:space="preserve">Appendix A: Metric Definitions</w:t>
      </w:r>
    </w:p>
    <w:p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Primary CTA click-through: eligible page sessions with a primary CTA click divided by eligible page sessions exposed to the treatment.</w:t>
      </w:r>
      <w:r>
        <w:rPr>
          <w:rFonts w:ascii="Georgia" w:cs="Georgia" w:eastAsia="Georgia" w:hAnsi="Georgia"/>
          <w:i w:val="0"/>
          <w:iCs w:val="0"/>
          <w:smallCaps w:val="0"/>
          <w:strike w:val="0"/>
          <w:color w:val="000000"/>
          <w:sz w:val="24"/>
          <w:szCs w:val="24"/>
          <w:u w:val="none"/>
          <w:shd w:fill="auto" w:val="clear"/>
          <w:vertAlign w:val="baseline"/>
          <w:rtl w:val="0"/>
        </w:rPr>
      </w:r>
      <w:r>
        <w:rPr>
          <w:rtl w:val="0"/>
        </w:rPr>
      </w:r>
    </w:p>
    <w:p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Documentation click-through: eligible page sessions with a click on the architecture or product documentation link divided by eligible sessions.</w:t>
      </w:r>
      <w:r>
        <w:rPr>
          <w:rFonts w:ascii="Georgia" w:cs="Georgia" w:eastAsia="Georgia" w:hAnsi="Georgia"/>
          <w:i w:val="0"/>
          <w:iCs w:val="0"/>
          <w:smallCaps w:val="0"/>
          <w:strike w:val="0"/>
          <w:color w:val="000000"/>
          <w:sz w:val="24"/>
          <w:szCs w:val="24"/>
          <w:u w:val="none"/>
          <w:shd w:fill="auto" w:val="clear"/>
          <w:vertAlign w:val="baseline"/>
          <w:rtl w:val="0"/>
        </w:rPr>
      </w:r>
      <w:r>
        <w:rPr>
          <w:rtl w:val="0"/>
        </w:rPr>
      </w:r>
    </w:p>
    <w:p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Boundary section reach: eligible sessions that reach the “模型不在线时，什么仍然可用？” section divided by eligible sessions.</w:t>
      </w:r>
      <w:r>
        <w:rPr>
          <w:rFonts w:ascii="Georgia" w:cs="Georgia" w:eastAsia="Georgia" w:hAnsi="Georgia"/>
          <w:i w:val="0"/>
          <w:iCs w:val="0"/>
          <w:smallCaps w:val="0"/>
          <w:strike w:val="0"/>
          <w:color w:val="000000"/>
          <w:sz w:val="24"/>
          <w:szCs w:val="24"/>
          <w:u w:val="none"/>
          <w:shd w:fill="auto" w:val="clear"/>
          <w:vertAlign w:val="baseline"/>
          <w:rtl w:val="0"/>
        </w:rPr>
      </w:r>
      <w:r>
        <w:rPr>
          <w:rtl w:val="0"/>
        </w:rPr>
      </w:r>
    </w:p>
    <w:p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Trust/comprehension response: post-visit response rate and correct identification of permission limits in a short voluntary prompt.</w:t>
      </w:r>
      <w:r>
        <w:rPr>
          <w:rFonts w:ascii="Georgia" w:cs="Georgia" w:eastAsia="Georgia" w:hAnsi="Georgia"/>
          <w:i w:val="0"/>
          <w:iCs w:val="0"/>
          <w:smallCaps w:val="0"/>
          <w:strike w:val="0"/>
          <w:color w:val="000000"/>
          <w:sz w:val="24"/>
          <w:szCs w:val="24"/>
          <w:u w:val="none"/>
          <w:shd w:fill="auto" w:val="clear"/>
          <w:vertAlign w:val="baseline"/>
          <w:rtl w:val="0"/>
        </w:rPr>
      </w:r>
      <w:r>
        <w:rPr>
          <w:rtl w:val="0"/>
        </w:rPr>
      </w:r>
    </w:p>
    <w:p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Mobile completion: eligible mobile sessions that reach a selected next step without layout or focus failure.</w:t>
      </w:r>
      <w:r>
        <w:rPr>
          <w:rFonts w:ascii="Georgia" w:cs="Georgia" w:eastAsia="Georgia" w:hAnsi="Georgia"/>
          <w:i w:val="0"/>
          <w:iCs w:val="0"/>
          <w:smallCaps w:val="0"/>
          <w:strike w:val="0"/>
          <w:color w:val="000000"/>
          <w:sz w:val="24"/>
          <w:szCs w:val="24"/>
          <w:u w:val="none"/>
          <w:shd w:fill="auto" w:val="clear"/>
          <w:vertAlign w:val="baseline"/>
          <w:rtl w:val="0"/>
        </w:rPr>
      </w:r>
      <w:r>
        <w:rPr>
          <w:rtl w:val="0"/>
        </w:rPr>
      </w:r>
    </w:p>
    <w:p w14:paraId="0000010E">
      <w:pPr>
        <w:spacing w:after="160" w:line="278.00000000000006" w:lineRule="auto"/>
        <w:rPr>
          <w:rFonts w:ascii="Georgia" w:cs="Georgia" w:eastAsia="Georgia" w:hAnsi="Georgia"/>
        </w:rPr>
      </w:pPr>
      <w:r>
        <w:rPr>
          <w:rtl w:val="0"/>
        </w:rPr>
      </w:r>
    </w:p>
    <w:p w14:paraId="0000010F">
      <w:pPr>
        <w:pStyle w:val="Heading1"/>
        <w:rPr>
          <w:rFonts w:ascii="Georgia" w:cs="Georgia" w:eastAsia="Georgia" w:hAnsi="Georgia"/>
        </w:rPr>
      </w:pPr>
      <w:r>
        <w:rPr>
          <w:rFonts w:ascii="Georgia" w:cs="Georgia" w:eastAsia="Georgia" w:hAnsi="Georgia"/>
          <w:rtl w:val="0"/>
        </w:rPr>
        <w:t xml:space="preserve">Appendix B: Analyst Notes</w:t>
      </w:r>
    </w:p>
    <w:p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No statistical method or query version applies because no controlled data were collected. The evidence set is the live URL, source markup, responsive CSS, and browser snapshot reviewed on October 12, 2026.</w:t>
      </w:r>
      <w:r>
        <w:rPr>
          <w:rtl w:val="0"/>
        </w:rPr>
      </w:r>
    </w:p>
    <w:p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Stopping rules and interim reads are pending. The only current decision is to avoid claiming a treatment winner before instrumentation and assignment exist.</w:t>
      </w:r>
      <w:r>
        <w:rPr>
          <w:rtl w:val="0"/>
        </w:rPr>
      </w:r>
    </w:p>
    <w:p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No warehouse reconciliation, backfill, or reviewer sign-off was supplied. The baseline is suitable for design direction, not performance inference.</w:t>
      </w:r>
      <w:r>
        <w:rPr>
          <w:rtl w:val="0"/>
        </w:rPr>
      </w:r>
    </w:p>
    <w:p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All values in this report are either observed page facts, explicit N/A, or proposed measurement definitions. Illustrative model names, records, and receipts on the source page remain illustrative.</w:t>
      </w:r>
      <w:r>
        <w:rPr>
          <w:rtl w:val="0"/>
        </w:rPr>
      </w:r>
    </w:p>
    <w:p w14:paraId="00000114">
      <w:pPr>
        <w:rPr>
          <w:rFonts w:ascii="Georgia" w:cs="Georgia" w:eastAsia="Georgia" w:hAnsi="Georgia"/>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Agent Page Experiment Analysis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