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tpb0xwe1r76" w:id="0"/>
      <w:bookmarkEnd w:id="0"/>
      <w:r w:rsidDel="00000000" w:rsidR="00000000" w:rsidRPr="00000000">
        <w:rPr>
          <w:sz w:val="30"/>
          <w:szCs w:val="30"/>
          <w:rtl w:val="0"/>
        </w:rPr>
        <w:t xml:space="preserve">Clinical Natural Language Technology for Health Care: Past, Present, &amp; Future Approaches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t xml:space="preserve">Clinical NLP refers to the technique of identifying and extracting structured information from unstructured data such as reports, notes, claims, etc. generated in healthcare operations. It is estimated that about 80% of the data in healthcare is unstructured (Kong et. al., 2019) and hence NLP is required to automate systems within healthcare. Today, the scope of clinical NLP extends beyond text processing alone, it encompasses a range of technologies including Optical Character Recognition (OCR), Computer Vision for interpreting medical imagery, and more recently, Large Language Models (LLMs) that combine these capabilities into unified systems. Together, these technologies form an evolving pipeline for transforming raw clinical data into structured and actionable information. This report explores how the progression from rule-based tools to general-purpose AI models is reshaping how healthcare organizations automate clinical processes.</w:t>
      </w:r>
      <w:r w:rsidDel="00000000" w:rsidR="00000000" w:rsidRPr="00000000">
        <w:rPr>
          <w:rtl w:val="0"/>
        </w:rPr>
      </w:r>
    </w:p>
    <w:p w:rsidR="00000000" w:rsidDel="00000000" w:rsidP="00000000" w:rsidRDefault="00000000" w:rsidRPr="00000000" w14:paraId="00000004">
      <w:pPr>
        <w:pStyle w:val="Heading3"/>
        <w:rPr/>
      </w:pPr>
      <w:bookmarkStart w:colFirst="0" w:colLast="0" w:name="_yk6v6zo7g55v" w:id="1"/>
      <w:bookmarkEnd w:id="1"/>
      <w:r w:rsidDel="00000000" w:rsidR="00000000" w:rsidRPr="00000000">
        <w:rPr>
          <w:rtl w:val="0"/>
        </w:rPr>
        <w:t xml:space="preserve">Evolution of approaches: Past, Present, and Future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Past - rule-based classic NLP</w:t>
      </w:r>
      <w:r w:rsidDel="00000000" w:rsidR="00000000" w:rsidRPr="00000000">
        <w:rPr>
          <w:rtl w:val="0"/>
        </w:rPr>
        <w:t xml:space="preserve">: Early NLP systems (1990s - 2000s) and OCR systems were lexicon and rule-based meaning these systems relied heavily on handcrafted rules and regular expressions (Regex). For instance, MedLEE can extract structured data from free-text medical records using a grammar-based syntactic and semantic framework to understand context (Friedman et al., 1994). Similarly, early OCR systems (1970s - 1980s) were based on basic template matching meaning they could only recognise specific rigid fonts found in perfectly typed documents. Feature and rule-based OCR systems were developed to recognise edges and curves however, they still struggled to recognise messy real-world handwriting. Tesseract OCR became the industry standard (Smith, 2017) for digitizing clinical documents. While Tesseract 4 (2018) added an LSTM-based engine that improved printed text recognition, it still requires extensive image preprocessing and struggles with handwritten text and degraded scans.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Present - Domain-Specific Transformers and AI-powered OCR: </w:t>
      </w:r>
      <w:r w:rsidDel="00000000" w:rsidR="00000000" w:rsidRPr="00000000">
        <w:rPr>
          <w:rtl w:val="0"/>
        </w:rPr>
        <w:t xml:space="preserve">The Transformer architecture shifted clinical NLP from handcrafted rules to learned representations such as BioBERT (Lee et al., 2020) demonstrated that pre-training on biomedical corpora dramatically improved entity recognition. However, each task still requires its own fine-tuned model and labeled dataset. OCR saw a parallel transformation with Microsoft's TrOCR (Li et al., 2021), which combined a Vision Transformer encoder with a text decoder to achieve over 90% accuracy on handwritten text. Dedicated services like Mistral OCR report 88.9% accuracy on handwriting (Mistral AI, 2025). These AI-powered OCR systems represent a powerful improvement from character-level pattern matching to contextual document understanding, but they remain specialized extraction tools that require a separate NLP layer to interpret the content.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Future - Foundation Models and Multimodal AI:</w:t>
      </w:r>
      <w:r w:rsidDel="00000000" w:rsidR="00000000" w:rsidRPr="00000000">
        <w:rPr>
          <w:rtl w:val="0"/>
        </w:rPr>
        <w:t xml:space="preserve"> LLMs like GPT-4 and Mistral now perform clinical entity extraction, summarization, and reasoning through zero-shot prompting, eliminating the need for task-specific training. Recent research shows GPT-4o achieving F1 scores of 0.95 on medical entity recognition from health records without any fine-tuning (Mahbub et at., 2025). More significantly, multimodal models such as GPT-4V and Pixtral collapse the entire OCR-to-NLP pipeline into a single step that includes accepting an image and directly outputting structured clinical data (Achiam et al., 2023). In MedSight, this contrast is demonstrated side by side. The same prescription image processed through a Tesseract OCR pipeline produces text requiring additional LLM correction and heavy image preprocessing, while the Pixtral multimodal model extracts accurate medication names, dosages, and instructions directly from the image in one inference call.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3"/>
        <w:rPr/>
      </w:pPr>
      <w:bookmarkStart w:colFirst="0" w:colLast="0" w:name="_hapem91yth1z" w:id="2"/>
      <w:bookmarkEnd w:id="2"/>
      <w:r w:rsidDel="00000000" w:rsidR="00000000" w:rsidRPr="00000000">
        <w:rPr>
          <w:rtl w:val="0"/>
        </w:rPr>
        <w:t xml:space="preserve">Threats: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adoption of foundation models in healthcare settings poses several risks that healthcare organizations as well as developers of these systems must be cognizant of. LLMs are prone to hallucinations where they might generate factually incorrect information which is especially dangerous as such errors can directly harm patients (Liu et al., 2023). Regulatory frameworks around AI in healthcare remain unsettled as there are not yet clear standards established for validating LLM-based clinical tools. Sending protected health information to third-party LLM APIs introduces data privacy challenges under HIPAA and reliance on external model providers creates vendor dependency risk if there are any changes in pricing, API availability, or usage policy. Finally, as these tasks are traditionally performed by clinical coders, document reviewers, and domain experts, organizations must manage workforce transition thoughtfully.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3"/>
        <w:rPr/>
      </w:pPr>
      <w:bookmarkStart w:colFirst="0" w:colLast="0" w:name="_mia9fn95y1g6" w:id="3"/>
      <w:bookmarkEnd w:id="3"/>
      <w:r w:rsidDel="00000000" w:rsidR="00000000" w:rsidRPr="00000000">
        <w:rPr>
          <w:rtl w:val="0"/>
        </w:rPr>
        <w:t xml:space="preserve">Strategic Recommendations: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Cotiviti should pilot RAG pipelines that ground LLM outputs in domain-specific authoritative sources as demonstrated in the MedSight POC, where a multimodal model extracts medication data from prescription images and its analysis is anchored to official FDA drug labeling data retrieved via the openFDA API (U.S. Food and Drug Administration, n.d.). This architecture can be replicated across Cotiviti's product lines by substituting the appropriate grounding source for each domain: CMS billing policies for Payment Policy Management, ICD-10 and CPT reference databases for Coding Validation, validated clinical guidelines for DxCG Risk Adjustment, etc. Finally, Cotiviti should lead the conversation on auditable healthcare AI where AI generated output is traceable to a verified source aligning with the company's existing philosophy that AI requires trusted data to deliver measurable outcomes (Cotiviti, 2025), and differentiating itself from competitors adopting black-box LLM automation.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1aodeoozvqm8" w:id="4"/>
      <w:bookmarkEnd w:id="4"/>
      <w:r w:rsidDel="00000000" w:rsidR="00000000" w:rsidRPr="00000000">
        <w:rPr>
          <w:rtl w:val="0"/>
        </w:rPr>
        <w:t xml:space="preserve">References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Achiam, J., Adler, S., Agarwal, S., Ahmad, L., Akkaya, I., Aleman, F. L., Almeida, D., Altenschmidt, J., Altman, S., Anadkat, S., &amp; others. (2023). GPT-4 technical report. arXiv preprint arXiv:2303.08774. </w:t>
      </w:r>
      <w:hyperlink r:id="rId6">
        <w:r w:rsidDel="00000000" w:rsidR="00000000" w:rsidRPr="00000000">
          <w:rPr>
            <w:color w:val="1155cc"/>
            <w:u w:val="single"/>
            <w:rtl w:val="0"/>
          </w:rPr>
          <w:t xml:space="preserve">https://arxiv.org/abs/2303.08774</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Cotiviti. (2025). Connected healthcare intelligence. </w:t>
      </w:r>
      <w:hyperlink r:id="rId7">
        <w:r w:rsidDel="00000000" w:rsidR="00000000" w:rsidRPr="00000000">
          <w:rPr>
            <w:color w:val="1155cc"/>
            <w:u w:val="single"/>
            <w:rtl w:val="0"/>
          </w:rPr>
          <w:t xml:space="preserve">https://www.cotiviti.com/</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Friedman, C., Alderson, P. O., Austin, J. H., Cimino, J. J., &amp; Johnson, S. B. (1994). A general natural-language text processor for clinical radiology. Journal of the American Medical Informatics Association, 1(2), 161–174. </w:t>
      </w:r>
      <w:hyperlink r:id="rId8">
        <w:r w:rsidDel="00000000" w:rsidR="00000000" w:rsidRPr="00000000">
          <w:rPr>
            <w:color w:val="1155cc"/>
            <w:u w:val="single"/>
            <w:rtl w:val="0"/>
          </w:rPr>
          <w:t xml:space="preserve">https://doi.org/10.1136/jamia.1994.95236146</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Kong, H.-J. (2019). Managing unstructured big data in healthcare system. Healthcare Informatics Research, 25(1), 1–2. </w:t>
      </w:r>
      <w:hyperlink r:id="rId9">
        <w:r w:rsidDel="00000000" w:rsidR="00000000" w:rsidRPr="00000000">
          <w:rPr>
            <w:color w:val="1155cc"/>
            <w:u w:val="single"/>
            <w:rtl w:val="0"/>
          </w:rPr>
          <w:t xml:space="preserve">https://doi.org/10.4258/hir.2019.25.1.1</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Lee, J., Yoon, W., Kim, S., Kim, D., Kim, S., So, C. H., &amp; Kang, J. (2020). BioBERT: A pre-trained biomedical language representation model for biomedical text mining. Bioinformatics, 36(4), 1234–1240. </w:t>
      </w:r>
      <w:hyperlink r:id="rId10">
        <w:r w:rsidDel="00000000" w:rsidR="00000000" w:rsidRPr="00000000">
          <w:rPr>
            <w:color w:val="1155cc"/>
            <w:u w:val="single"/>
            <w:rtl w:val="0"/>
          </w:rPr>
          <w:t xml:space="preserve">https://doi.org/10.1093/bioinformatics/btz682</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Li, M., Lv, T., Chen, J., Cui, L., Lu, Y., Florencio, D., Zhang, C., Li, Z., &amp; Wei, F. (2023). TrOCR: Transformer-based optical character recognition with pre-trained models. Proceedings of the AAAI Conference on Artificial Intelligence, 37(11), 13094–13102. </w:t>
      </w:r>
      <w:hyperlink r:id="rId11">
        <w:r w:rsidDel="00000000" w:rsidR="00000000" w:rsidRPr="00000000">
          <w:rPr>
            <w:color w:val="1155cc"/>
            <w:u w:val="single"/>
            <w:rtl w:val="0"/>
          </w:rPr>
          <w:t xml:space="preserve">https://doi.org/10.1609/aaai.v37i11.26538</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Liu, Z., Huang, Y., Yu, X., Zhang, L., Wu, Z., Cao, C., Dai, H., Zhao, L., Li, Y., Shu, P., &amp; others. (2023). DeID-GPT: Zero-shot medical text de-identification by GPT-4. arXiv preprint arXiv:2303.11032. </w:t>
      </w:r>
      <w:hyperlink r:id="rId12">
        <w:r w:rsidDel="00000000" w:rsidR="00000000" w:rsidRPr="00000000">
          <w:rPr>
            <w:color w:val="1155cc"/>
            <w:u w:val="single"/>
            <w:rtl w:val="0"/>
          </w:rPr>
          <w:t xml:space="preserve">https://arxiv.org/abs/2303.11032</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Mahbub, M., Goethert, I., Danciu, I., Knight, K., Srinivasan, S., &amp; Tamang, S. (2025). LLM-based prompt ensemble for reliable medical entity recognition from EHRs. Proceedings of the IEEE International Conference on Information Reuse and Integration (IRI). </w:t>
      </w:r>
      <w:hyperlink r:id="rId13">
        <w:r w:rsidDel="00000000" w:rsidR="00000000" w:rsidRPr="00000000">
          <w:rPr>
            <w:color w:val="1155cc"/>
            <w:u w:val="single"/>
            <w:rtl w:val="0"/>
          </w:rPr>
          <w:t xml:space="preserve">https://arxiv.org/abs/2505.08704</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Mistral AI. (2025). Introducing Mistral OCR 3. </w:t>
      </w:r>
      <w:hyperlink r:id="rId14">
        <w:r w:rsidDel="00000000" w:rsidR="00000000" w:rsidRPr="00000000">
          <w:rPr>
            <w:color w:val="1155cc"/>
            <w:u w:val="single"/>
            <w:rtl w:val="0"/>
          </w:rPr>
          <w:t xml:space="preserve">https://mistral.ai/news/mistral-ocr-3/</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Smith, R. (2007). An overview of the Tesseract OCR engine. Proceedings of the Ninth International Conference on Document Analysis and Recognition (ICDAR), 629–633. </w:t>
      </w:r>
      <w:hyperlink r:id="rId15">
        <w:r w:rsidDel="00000000" w:rsidR="00000000" w:rsidRPr="00000000">
          <w:rPr>
            <w:color w:val="1155cc"/>
            <w:u w:val="single"/>
            <w:rtl w:val="0"/>
          </w:rPr>
          <w:t xml:space="preserve">https://doi.org/10.1109/ICDAR.2007.4376991</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U.S. Food and Drug Administration. (n.d.). openFDA: Drug labeling API. </w:t>
      </w:r>
      <w:hyperlink r:id="rId16">
        <w:r w:rsidDel="00000000" w:rsidR="00000000" w:rsidRPr="00000000">
          <w:rPr>
            <w:color w:val="1155cc"/>
            <w:u w:val="single"/>
            <w:rtl w:val="0"/>
          </w:rPr>
          <w:t xml:space="preserve">https://open.fda.gov/apis/drug/label/</w:t>
        </w:r>
      </w:hyperlink>
      <w:r w:rsidDel="00000000" w:rsidR="00000000" w:rsidRPr="00000000">
        <w:rPr>
          <w:rtl w:val="0"/>
        </w:rPr>
        <w:t xml:space="preserve"> </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609/aaai.v37i11.26538" TargetMode="External"/><Relationship Id="rId10" Type="http://schemas.openxmlformats.org/officeDocument/2006/relationships/hyperlink" Target="https://doi.org/10.1093/bioinformatics/btz682" TargetMode="External"/><Relationship Id="rId13" Type="http://schemas.openxmlformats.org/officeDocument/2006/relationships/hyperlink" Target="https://arxiv.org/abs/2505.08704" TargetMode="External"/><Relationship Id="rId12" Type="http://schemas.openxmlformats.org/officeDocument/2006/relationships/hyperlink" Target="https://arxiv.org/abs/2303.110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258/hir.2019.25.1.1" TargetMode="External"/><Relationship Id="rId15" Type="http://schemas.openxmlformats.org/officeDocument/2006/relationships/hyperlink" Target="https://doi.org/10.1109/ICDAR.2007.4376991" TargetMode="External"/><Relationship Id="rId14" Type="http://schemas.openxmlformats.org/officeDocument/2006/relationships/hyperlink" Target="https://mistral.ai/news/mistral-ocr-3/" TargetMode="External"/><Relationship Id="rId16" Type="http://schemas.openxmlformats.org/officeDocument/2006/relationships/hyperlink" Target="https://open.fda.gov/apis/drug/label/" TargetMode="External"/><Relationship Id="rId5" Type="http://schemas.openxmlformats.org/officeDocument/2006/relationships/styles" Target="styles.xml"/><Relationship Id="rId6" Type="http://schemas.openxmlformats.org/officeDocument/2006/relationships/hyperlink" Target="https://arxiv.org/abs/2303.08774" TargetMode="External"/><Relationship Id="rId7" Type="http://schemas.openxmlformats.org/officeDocument/2006/relationships/hyperlink" Target="https://www.cotiviti.com/" TargetMode="External"/><Relationship Id="rId8" Type="http://schemas.openxmlformats.org/officeDocument/2006/relationships/hyperlink" Target="https://doi.org/10.1136/jamia.1994.95236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