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Malgun Gothic" w:hAnsi="Malgun Gothic" w:eastAsia="Malgun Gothic"/>
          <w:b/>
          <w:color w:val="0B2545"/>
          <w:sz w:val="34"/>
        </w:rPr>
        <w:t>B4 최적화 비교 실험 및 최종 검증 결과 보고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555555"/>
          <w:sz w:val="16"/>
        </w:rPr>
        <w:t>기준 BO run: s1forced_bo_n1_m50_t6_w4_proc_20260608_001950 · 최종 검증 run: final_destination_validation_bo_best_20260608 · 작성일: 2026-06-08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B2545"/>
                <w:sz w:val="20"/>
              </w:rPr>
              <w:t xml:space="preserve">결론: </w:t>
            </w:r>
            <w:r>
              <w:rPr>
                <w:rFonts w:ascii="Malgun Gothic" w:hAnsi="Malgun Gothic" w:eastAsia="Malgun Gothic"/>
                <w:b w:val="0"/>
                <w:color w:val="0B2545"/>
                <w:sz w:val="20"/>
              </w:rPr>
              <w:t>BO로 선택한 B4 theta는 3개 최종 경로에서 B04 대비 응급차 추가 지연을 평균 223.4s -&gt; 99.1s로 줄였다. 개선폭은 평균 124.4초, 약 55.7%이며, 실패 run·teleport·도착 실패는 없었다.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Malgun Gothic" w:hAnsi="Malgun Gothic" w:eastAsia="Malgun Gothic"/>
          <w:b/>
          <w:color w:val="2E74B5"/>
          <w:sz w:val="24"/>
        </w:rPr>
        <w:t>핵심 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613"/>
        <w:gridCol w:w="1613"/>
        <w:gridCol w:w="1613"/>
        <w:gridCol w:w="1699"/>
        <w:gridCol w:w="1699"/>
      </w:tblGrid>
      <w:tr>
        <w:tc>
          <w:tcPr>
            <w:tcW w:type="dxa" w:w="1742"/>
            <w:vAlign w:val="center"/>
            <w:shd w:fill="F2F4F7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1742"/>
            <w:vAlign w:val="center"/>
            <w:shd w:fill="F2F4F7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B04</w:t>
            </w:r>
          </w:p>
        </w:tc>
        <w:tc>
          <w:tcPr>
            <w:tcW w:type="dxa" w:w="1742"/>
            <w:vAlign w:val="center"/>
            <w:shd w:fill="F2F4F7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B4</w:t>
            </w:r>
          </w:p>
        </w:tc>
        <w:tc>
          <w:tcPr>
            <w:tcW w:type="dxa" w:w="1742"/>
            <w:vAlign w:val="center"/>
            <w:shd w:fill="F2F4F7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개선</w:t>
            </w:r>
          </w:p>
        </w:tc>
        <w:tc>
          <w:tcPr>
            <w:tcW w:type="dxa" w:w="1742"/>
            <w:vAlign w:val="center"/>
            <w:shd w:fill="F2F4F7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일반차 영향</w:t>
            </w:r>
          </w:p>
        </w:tc>
        <w:tc>
          <w:tcPr>
            <w:tcW w:type="dxa" w:w="1742"/>
            <w:vAlign w:val="center"/>
            <w:shd w:fill="F2F4F7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해석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Route 006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254.4s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88.9s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-165.5s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-6.2s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큰 개선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Route 016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280.2s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125.8s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-154.4s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-7.1s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큰 개선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Route 011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135.7s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82.5s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-53.2s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+9.2s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trade-off</w:t>
            </w:r>
          </w:p>
        </w:tc>
      </w:tr>
      <w:tr>
        <w:tc>
          <w:tcPr>
            <w:tcW w:type="dxa" w:w="1944"/>
            <w:vAlign w:val="center"/>
            <w:shd w:fill="F4F6F9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7"/>
              </w:rPr>
              <w:t>평균</w:t>
            </w:r>
          </w:p>
        </w:tc>
        <w:tc>
          <w:tcPr>
            <w:tcW w:type="dxa" w:w="1613"/>
            <w:vAlign w:val="center"/>
            <w:shd w:fill="F4F6F9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7"/>
              </w:rPr>
              <w:t>223.4s</w:t>
            </w:r>
          </w:p>
        </w:tc>
        <w:tc>
          <w:tcPr>
            <w:tcW w:type="dxa" w:w="1613"/>
            <w:vAlign w:val="center"/>
            <w:shd w:fill="F4F6F9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7"/>
              </w:rPr>
              <w:t>99.1s</w:t>
            </w:r>
          </w:p>
        </w:tc>
        <w:tc>
          <w:tcPr>
            <w:tcW w:type="dxa" w:w="1613"/>
            <w:vAlign w:val="center"/>
            <w:shd w:fill="F4F6F9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7"/>
              </w:rPr>
              <w:t>-124.4s</w:t>
            </w:r>
          </w:p>
        </w:tc>
        <w:tc>
          <w:tcPr>
            <w:tcW w:type="dxa" w:w="1699"/>
            <w:vAlign w:val="center"/>
            <w:shd w:fill="F4F6F9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7"/>
              </w:rPr>
              <w:t>-1.4s</w:t>
            </w:r>
          </w:p>
        </w:tc>
        <w:tc>
          <w:tcPr>
            <w:tcW w:type="dxa" w:w="1699"/>
            <w:vAlign w:val="center"/>
            <w:shd w:fill="F4F6F9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7"/>
              </w:rPr>
              <w:t>55.7% 감소</w:t>
            </w:r>
          </w:p>
        </w:tc>
      </w:tr>
    </w:tbl>
    <w:p>
      <w:pPr>
        <w:spacing w:after="20"/>
      </w:pPr>
    </w:p>
    <w:p>
      <w:pPr>
        <w:spacing w:after="40" w:line="259" w:lineRule="auto"/>
      </w:pPr>
      <w:r>
        <w:rPr>
          <w:rFonts w:ascii="Malgun Gothic" w:hAnsi="Malgun Gothic" w:eastAsia="Malgun Gothic"/>
          <w:b/>
          <w:color w:val="1F4D78"/>
          <w:sz w:val="18"/>
        </w:rPr>
        <w:t xml:space="preserve">왜 개선됐나: </w:t>
      </w:r>
      <w:r>
        <w:rPr>
          <w:rFonts w:ascii="Malgun Gothic" w:hAnsi="Malgun Gothic" w:eastAsia="Malgun Gothic"/>
          <w:b w:val="0"/>
          <w:color w:val="000000"/>
          <w:sz w:val="18"/>
        </w:rPr>
        <w:t>B4는 응급차 접근 시 Stage3 preemption을 실제로 사용했다. 평균 preemption은 route 006/016/011에서 각각 11.1/12.7/6.8회였고, Stage2 hold는 0.2회 내외라 개선의 주된 원인은 적극적인 녹색 제공/우선 신호 개입이다.</w:t>
      </w:r>
    </w:p>
    <w:p>
      <w:pPr>
        <w:spacing w:after="40" w:line="259" w:lineRule="auto"/>
      </w:pPr>
      <w:r>
        <w:rPr>
          <w:rFonts w:ascii="Malgun Gothic" w:hAnsi="Malgun Gothic" w:eastAsia="Malgun Gothic"/>
          <w:b/>
          <w:color w:val="1F4D78"/>
          <w:sz w:val="18"/>
        </w:rPr>
        <w:t xml:space="preserve">최적화 비교: </w:t>
      </w:r>
      <w:r>
        <w:rPr>
          <w:rFonts w:ascii="Malgun Gothic" w:hAnsi="Malgun Gothic" w:eastAsia="Malgun Gothic"/>
          <w:b w:val="0"/>
          <w:color w:val="000000"/>
          <w:sz w:val="18"/>
        </w:rPr>
        <w:t>단일 seed 최종 score는 BO 91.20, CMA-ES 90.04, Random Search 90.34이다. 차이가 작고 seed 1판이므로 우열 결론보다 'BO는 초반에 빠르게 좋은 영역에 도달했고, 세 방법 모두 유사한 영역에 수렴했다'로 해석해야 한다.</w:t>
      </w:r>
    </w:p>
    <w:p>
      <w:pPr>
        <w:spacing w:after="40" w:line="259" w:lineRule="auto"/>
      </w:pPr>
      <w:r>
        <w:rPr>
          <w:rFonts w:ascii="Malgun Gothic" w:hAnsi="Malgun Gothic" w:eastAsia="Malgun Gothic"/>
          <w:b/>
          <w:color w:val="1F4D78"/>
          <w:sz w:val="18"/>
        </w:rPr>
        <w:t xml:space="preserve">가중치 민감도: </w:t>
      </w:r>
      <w:r>
        <w:rPr>
          <w:rFonts w:ascii="Malgun Gothic" w:hAnsi="Malgun Gothic" w:eastAsia="Malgun Gothic"/>
          <w:b w:val="0"/>
          <w:color w:val="000000"/>
          <w:sz w:val="18"/>
        </w:rPr>
        <w:t>1:1, 5:1, 10:1, 15:1, 20:1 모두 동일 후보(t_lead=31, delta_T_thr=28, G_ext=30, Q_ratio=0.19, tau=0.81)를 선택했다. 이는 10:1이 유일한 정답이라는 뜻이 아니라, tested weight range에서 후보가 robust하다는 뜻이다.</w:t>
      </w:r>
    </w:p>
    <w:p>
      <w:pPr>
        <w:spacing w:after="40" w:line="259" w:lineRule="auto"/>
      </w:pPr>
      <w:r>
        <w:rPr>
          <w:rFonts w:ascii="Malgun Gothic" w:hAnsi="Malgun Gothic" w:eastAsia="Malgun Gothic"/>
          <w:b/>
          <w:color w:val="1F4D78"/>
          <w:sz w:val="18"/>
        </w:rPr>
        <w:t xml:space="preserve">의사결정 의미: </w:t>
      </w:r>
      <w:r>
        <w:rPr>
          <w:rFonts w:ascii="Malgun Gothic" w:hAnsi="Malgun Gothic" w:eastAsia="Malgun Gothic"/>
          <w:b w:val="0"/>
          <w:color w:val="000000"/>
          <w:sz w:val="18"/>
        </w:rPr>
        <w:t>B4는 응급차 지연 감소 효과가 크고 검증 안정성도 좋다. 다만 route 011에서는 일반차 평균 통행시간이 9.2초 증가했으므로, 최종 발표에서는 응급차 개선과 일반차 비용을 함께 제시하는 Pareto/trade-off 메시지가 필요하다.</w:t>
      </w:r>
    </w:p>
    <w:p>
      <w:pPr>
        <w:spacing w:before="40" w:after="0"/>
      </w:pPr>
      <w:r>
        <w:rPr>
          <w:rFonts w:ascii="Malgun Gothic" w:hAnsi="Malgun Gothic" w:eastAsia="Malgun Gothic"/>
          <w:b w:val="0"/>
          <w:color w:val="666666"/>
          <w:sz w:val="15"/>
        </w:rPr>
        <w:t>근거 데이터: table1_best_so_far.csv, table3_pareto.csv, final/selected_mode_averages.csv. GP 그림은 실제 재평가가 아닌 BO 관측값 기반 surrogate 1D slice이다.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