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Play" w:cs="Play" w:eastAsia="Play" w:hAnsi="Play"/>
          <w:b/>
          <w:bCs/>
          <w:color w:val="BE520F"/>
          <w:sz w:val="48"/>
          <w:szCs w:val="48"/>
        </w:rPr>
        <w:t xml:space="preserve">SECURITY REQUIREMENTS</w:t>
      </w:r>
      <w:r>
        <w:rPr>
          <w:rFonts w:ascii="Play" w:cs="Play" w:eastAsia="Play" w:hAnsi="Play"/>
          <w:b/>
          <w:bCs/>
          <w:color w:val="BE520F"/>
          <w:sz w:val="48"/>
          <w:szCs w:val="48"/>
        </w:rPr>
        <w:br/>
        <w:t xml:space="preserve">SPECIFICATION</w:t>
      </w:r>
    </w:p>
    <w:p>
      <w:pPr>
        <w:jc w:val="center"/>
      </w:pPr>
      <w:r>
        <w:rPr>
          <w:rFonts w:ascii="Play" w:cs="Play" w:eastAsia="Play" w:hAnsi="Play"/>
          <w:b/>
          <w:bCs/>
          <w:color w:val="28374B"/>
          <w:sz w:val="36"/>
          <w:szCs w:val="36"/>
        </w:rPr>
        <w:t xml:space="preserve">Online Internship and Placement Preparation Portal</w:t>
      </w:r>
    </w:p>
    <w:p>
      <w:pPr>
        <w:spacing w:after="60"/>
      </w:pPr>
    </w:p>
    <w:p>
      <w:pPr>
        <w:pStyle w:val="Heading1"/>
      </w:pPr>
      <w:r>
        <w:t xml:space="preserve">1. Introduction</w:t>
      </w:r>
    </w:p>
    <w:p>
      <w:pPr>
        <w:spacing w:after="100" w:line="259"/>
      </w:pPr>
      <w:r>
        <w:rPr>
          <w:rFonts w:ascii="Aptos" w:cs="Aptos" w:eastAsia="Aptos" w:hAnsi="Aptos"/>
          <w:color w:val="2D2D2D"/>
        </w:rPr>
        <w:t xml:space="preserve">The Requirements Phase establishes what security capabilities a system must provide before design and implementation. Identifying security needs early helps reduce costly redesign and vulnerabilities.</w:t>
      </w:r>
    </w:p>
    <w:p>
      <w:pPr>
        <w:spacing w:after="100" w:line="259"/>
      </w:pPr>
      <w:r>
        <w:rPr>
          <w:rFonts w:ascii="Aptos" w:cs="Aptos" w:eastAsia="Aptos" w:hAnsi="Aptos"/>
          <w:color w:val="2D2D2D"/>
        </w:rPr>
        <w:t xml:space="preserve">This document applies the lecture concepts of Security Risk Assessment (SRA), assets and stakeholders, threat identification, risk categorization, security objectives, and clear security requirements to the Online Internship and Placement Preparation Portal.</w:t>
      </w:r>
    </w:p>
    <w:p>
      <w:pPr>
        <w:pStyle w:val="Heading2"/>
      </w:pPr>
      <w:r>
        <w:t xml:space="preserve">1.1 Purpose</w:t>
      </w:r>
    </w:p>
    <w:p>
      <w:pPr>
        <w:spacing w:after="100" w:line="259"/>
      </w:pPr>
      <w:r>
        <w:rPr>
          <w:rFonts w:ascii="Aptos" w:cs="Aptos" w:eastAsia="Aptos" w:hAnsi="Aptos"/>
          <w:color w:val="2D2D2D"/>
        </w:rPr>
        <w:t xml:space="preserve">Identify important assets, stakeholders, potential threats, and security risks, then translate high-priority risks into clear, measurable, and testable security requirements.</w:t>
      </w:r>
    </w:p>
    <w:p>
      <w:pPr>
        <w:pStyle w:val="Heading2"/>
      </w:pPr>
      <w:r>
        <w:t xml:space="preserve">1.2 Scope</w:t>
      </w:r>
    </w:p>
    <w:p>
      <w:pPr>
        <w:spacing w:after="100" w:line="259"/>
      </w:pPr>
      <w:r>
        <w:rPr>
          <w:rFonts w:ascii="Aptos" w:cs="Aptos" w:eastAsia="Aptos" w:hAnsi="Aptos"/>
          <w:color w:val="2D2D2D"/>
        </w:rPr>
        <w:t xml:space="preserve">The scope covers student and admin registration and login, student profiles, internship listings, internship applications with resume uploads, the categorized question bank, practice sessions, timed mock tests with auto-submit, score and answer analysis, the personal analytics dashboard, admin management of listings, questions and applications, database storage, and backups. It builds on the portal's SRS (FR-001 to FR-005, NFR001 to NFR003), use case specifications and test plan.</w:t>
      </w:r>
    </w:p>
    <w:p>
      <w:pPr>
        <w:pStyle w:val="Heading1"/>
      </w:pPr>
      <w:r>
        <w:t xml:space="preserve">2. Assets and Stakeholders</w:t>
      </w:r>
    </w:p>
    <w:p>
      <w:pPr>
        <w:spacing w:after="100" w:line="259"/>
      </w:pPr>
      <w:r>
        <w:rPr>
          <w:rFonts w:ascii="Aptos" w:cs="Aptos" w:eastAsia="Aptos" w:hAnsi="Aptos"/>
          <w:color w:val="2D2D2D"/>
        </w:rPr>
        <w:t xml:space="preserve">An asset is anything that has value. A stakeholder is a person or organization that owns, depends on, or is affected by an asset. An asset may have multiple stakeholders, and a stakeholder may have multiple assets.</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3408"/>
        <w:gridCol w:w="3408"/>
        <w:gridCol w:w="3408"/>
      </w:tblGrid>
      <w:tr>
        <w:trPr>
          <w:cantSplit/>
          <w:tblHeader/>
        </w:trPr>
        <w:tc>
          <w:tcPr>
            <w:tcW w:type="dxa" w:w="3408"/>
            <w:tcBorders>
              <w:top w:val="single" w:color="000000" w:sz="4"/>
              <w:left w:val="single" w:color="000000" w:sz="4"/>
              <w:bottom w:val="single" w:color="000000" w:sz="4"/>
              <w:right w:val="single" w:color="000000" w:sz="4"/>
            </w:tcBorders>
            <w:shd w:fill="BE520F" w:color="auto" w:val="clear"/>
            <w:tcMar>
              <w:top w:type="dxa" w:w="90"/>
              <w:left w:type="dxa" w:w="100"/>
              <w:bottom w:type="dxa" w:w="90"/>
              <w:right w:type="dxa" w:w="100"/>
            </w:tcMar>
            <w:vAlign w:val="center"/>
          </w:tcPr>
          <w:p>
            <w:pPr>
              <w:spacing w:after="0" w:line="259"/>
            </w:pPr>
            <w:r>
              <w:rPr>
                <w:rFonts w:ascii="Aptos" w:cs="Aptos" w:eastAsia="Aptos" w:hAnsi="Aptos"/>
                <w:b/>
                <w:bCs/>
                <w:color w:val="FFFFFF"/>
                <w:sz w:val="17"/>
                <w:szCs w:val="17"/>
              </w:rPr>
              <w:t xml:space="preserve">Asset</w:t>
            </w:r>
          </w:p>
        </w:tc>
        <w:tc>
          <w:tcPr>
            <w:tcW w:type="dxa" w:w="3408"/>
            <w:tcBorders>
              <w:top w:val="single" w:color="000000" w:sz="4"/>
              <w:left w:val="single" w:color="000000" w:sz="4"/>
              <w:bottom w:val="single" w:color="000000" w:sz="4"/>
              <w:right w:val="single" w:color="000000" w:sz="4"/>
            </w:tcBorders>
            <w:shd w:fill="BE520F" w:color="auto" w:val="clear"/>
            <w:tcMar>
              <w:top w:type="dxa" w:w="90"/>
              <w:left w:type="dxa" w:w="100"/>
              <w:bottom w:type="dxa" w:w="90"/>
              <w:right w:type="dxa" w:w="100"/>
            </w:tcMar>
            <w:vAlign w:val="center"/>
          </w:tcPr>
          <w:p>
            <w:pPr>
              <w:spacing w:after="0" w:line="259"/>
            </w:pPr>
            <w:r>
              <w:rPr>
                <w:rFonts w:ascii="Aptos" w:cs="Aptos" w:eastAsia="Aptos" w:hAnsi="Aptos"/>
                <w:b/>
                <w:bCs/>
                <w:color w:val="FFFFFF"/>
                <w:sz w:val="17"/>
                <w:szCs w:val="17"/>
              </w:rPr>
              <w:t xml:space="preserve">Stakeholders</w:t>
            </w:r>
          </w:p>
        </w:tc>
        <w:tc>
          <w:tcPr>
            <w:tcW w:type="dxa" w:w="3408"/>
            <w:tcBorders>
              <w:top w:val="single" w:color="000000" w:sz="4"/>
              <w:left w:val="single" w:color="000000" w:sz="4"/>
              <w:bottom w:val="single" w:color="000000" w:sz="4"/>
              <w:right w:val="single" w:color="000000" w:sz="4"/>
            </w:tcBorders>
            <w:shd w:fill="BE520F" w:color="auto" w:val="clear"/>
            <w:tcMar>
              <w:top w:type="dxa" w:w="90"/>
              <w:left w:type="dxa" w:w="100"/>
              <w:bottom w:type="dxa" w:w="90"/>
              <w:right w:type="dxa" w:w="100"/>
            </w:tcMar>
            <w:vAlign w:val="center"/>
          </w:tcPr>
          <w:p>
            <w:pPr>
              <w:spacing w:after="0" w:line="259"/>
            </w:pPr>
            <w:r>
              <w:rPr>
                <w:rFonts w:ascii="Aptos" w:cs="Aptos" w:eastAsia="Aptos" w:hAnsi="Aptos"/>
                <w:b/>
                <w:bCs/>
                <w:color w:val="FFFFFF"/>
                <w:sz w:val="17"/>
                <w:szCs w:val="17"/>
              </w:rPr>
              <w:t xml:space="preserve">Why it matters</w:t>
            </w:r>
          </w:p>
        </w:tc>
      </w:tr>
      <w:tr>
        <w:trPr>
          <w:cantSplit/>
        </w:trPr>
        <w:tc>
          <w:tcPr>
            <w:tcW w:type="dxa" w:w="3408"/>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Student credentials and session tokens</w:t>
            </w:r>
          </w:p>
        </w:tc>
        <w:tc>
          <w:tcPr>
            <w:tcW w:type="dxa" w:w="3408"/>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Students; portal owner</w:t>
            </w:r>
          </w:p>
        </w:tc>
        <w:tc>
          <w:tcPr>
            <w:tcW w:type="dxa" w:w="3408"/>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Unauthorized account access and impersonation</w:t>
            </w:r>
          </w:p>
        </w:tc>
      </w:tr>
      <w:tr>
        <w:trPr>
          <w:cantSplit/>
        </w:trPr>
        <w:tc>
          <w:tcPr>
            <w:tcW w:type="dxa" w:w="3408"/>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Student profile information (name, email, college/batch)</w:t>
            </w:r>
          </w:p>
        </w:tc>
        <w:tc>
          <w:tcPr>
            <w:tcW w:type="dxa" w:w="3408"/>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Students; portal owner</w:t>
            </w:r>
          </w:p>
        </w:tc>
        <w:tc>
          <w:tcPr>
            <w:tcW w:type="dxa" w:w="3408"/>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Exposure or misuse of personal information</w:t>
            </w:r>
          </w:p>
        </w:tc>
      </w:tr>
      <w:tr>
        <w:trPr>
          <w:cantSplit/>
        </w:trPr>
        <w:tc>
          <w:tcPr>
            <w:tcW w:type="dxa" w:w="3408"/>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Application data: resumes, cover notes, application status</w:t>
            </w:r>
          </w:p>
        </w:tc>
        <w:tc>
          <w:tcPr>
            <w:tcW w:type="dxa" w:w="3408"/>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Students; Admin; hiring companies</w:t>
            </w:r>
          </w:p>
        </w:tc>
        <w:tc>
          <w:tcPr>
            <w:tcW w:type="dxa" w:w="3408"/>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Disclosure of personal documents; tampering with status or records</w:t>
            </w:r>
          </w:p>
        </w:tc>
      </w:tr>
      <w:tr>
        <w:trPr>
          <w:cantSplit/>
        </w:trPr>
        <w:tc>
          <w:tcPr>
            <w:tcW w:type="dxa" w:w="3408"/>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Internship listings</w:t>
            </w:r>
          </w:p>
        </w:tc>
        <w:tc>
          <w:tcPr>
            <w:tcW w:type="dxa" w:w="3408"/>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Admin; students; partner companies</w:t>
            </w:r>
          </w:p>
        </w:tc>
        <w:tc>
          <w:tcPr>
            <w:tcW w:type="dxa" w:w="3408"/>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Fake or altered listings mislead students; deadline tampering</w:t>
            </w:r>
          </w:p>
        </w:tc>
      </w:tr>
      <w:tr>
        <w:trPr>
          <w:cantSplit/>
        </w:trPr>
        <w:tc>
          <w:tcPr>
            <w:tcW w:type="dxa" w:w="3408"/>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Question bank and answer keys</w:t>
            </w:r>
          </w:p>
        </w:tc>
        <w:tc>
          <w:tcPr>
            <w:tcW w:type="dxa" w:w="3408"/>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Admin; portal owner</w:t>
            </w:r>
          </w:p>
        </w:tc>
        <w:tc>
          <w:tcPr>
            <w:tcW w:type="dxa" w:w="3408"/>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Leakage or modification destroys fairness and test validity</w:t>
            </w:r>
          </w:p>
        </w:tc>
      </w:tr>
      <w:tr>
        <w:trPr>
          <w:cantSplit/>
        </w:trPr>
        <w:tc>
          <w:tcPr>
            <w:tcW w:type="dxa" w:w="3408"/>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Mock test attempts, timers and submitted answers</w:t>
            </w:r>
          </w:p>
        </w:tc>
        <w:tc>
          <w:tcPr>
            <w:tcW w:type="dxa" w:w="3408"/>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Students; Admin</w:t>
            </w:r>
          </w:p>
        </w:tc>
        <w:tc>
          <w:tcPr>
            <w:tcW w:type="dxa" w:w="3408"/>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Score manipulation, timer tampering, lost attempts</w:t>
            </w:r>
          </w:p>
        </w:tc>
      </w:tr>
      <w:tr>
        <w:trPr>
          <w:cantSplit/>
        </w:trPr>
        <w:tc>
          <w:tcPr>
            <w:tcW w:type="dxa" w:w="3408"/>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Practice history, scores and personal analytics</w:t>
            </w:r>
          </w:p>
        </w:tc>
        <w:tc>
          <w:tcPr>
            <w:tcW w:type="dxa" w:w="3408"/>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Students</w:t>
            </w:r>
          </w:p>
        </w:tc>
        <w:tc>
          <w:tcPr>
            <w:tcW w:type="dxa" w:w="3408"/>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Disclosure of performance; incorrect aggregated data</w:t>
            </w:r>
          </w:p>
        </w:tc>
      </w:tr>
      <w:tr>
        <w:trPr>
          <w:cantSplit/>
        </w:trPr>
        <w:tc>
          <w:tcPr>
            <w:tcW w:type="dxa" w:w="3408"/>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Admin accounts and privileges</w:t>
            </w:r>
          </w:p>
        </w:tc>
        <w:tc>
          <w:tcPr>
            <w:tcW w:type="dxa" w:w="3408"/>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Portal owner; Admin; students</w:t>
            </w:r>
          </w:p>
        </w:tc>
        <w:tc>
          <w:tcPr>
            <w:tcW w:type="dxa" w:w="3408"/>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Privilege misuse; unauthorized management of listings, questions and applications</w:t>
            </w:r>
          </w:p>
        </w:tc>
      </w:tr>
      <w:tr>
        <w:trPr>
          <w:cantSplit/>
        </w:trPr>
        <w:tc>
          <w:tcPr>
            <w:tcW w:type="dxa" w:w="3408"/>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Database, uploaded files and backups</w:t>
            </w:r>
          </w:p>
        </w:tc>
        <w:tc>
          <w:tcPr>
            <w:tcW w:type="dxa" w:w="3408"/>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Portal owner; students; Admin</w:t>
            </w:r>
          </w:p>
        </w:tc>
        <w:tc>
          <w:tcPr>
            <w:tcW w:type="dxa" w:w="3408"/>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Bulk disclosure, data loss, service interruption</w:t>
            </w:r>
          </w:p>
        </w:tc>
      </w:tr>
      <w:tr>
        <w:trPr>
          <w:cantSplit/>
        </w:trPr>
        <w:tc>
          <w:tcPr>
            <w:tcW w:type="dxa" w:w="3408"/>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Coding-question execution environment</w:t>
            </w:r>
          </w:p>
        </w:tc>
        <w:tc>
          <w:tcPr>
            <w:tcW w:type="dxa" w:w="3408"/>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Portal owner; students</w:t>
            </w:r>
          </w:p>
        </w:tc>
        <w:tc>
          <w:tcPr>
            <w:tcW w:type="dxa" w:w="3408"/>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Malicious code could compromise the server or other users</w:t>
            </w:r>
          </w:p>
        </w:tc>
      </w:tr>
    </w:tbl>
    <w:p>
      <w:pPr>
        <w:pStyle w:val="Heading1"/>
      </w:pPr>
      <w:r>
        <w:t xml:space="preserve">3. Threats and Potential Attackers</w:t>
      </w:r>
    </w:p>
    <w:p>
      <w:pPr>
        <w:spacing w:after="100" w:line="259"/>
      </w:pPr>
      <w:r>
        <w:rPr>
          <w:rFonts w:ascii="Aptos" w:cs="Aptos" w:eastAsia="Aptos" w:hAnsi="Aptos"/>
          <w:color w:val="2D2D2D"/>
        </w:rPr>
        <w:t xml:space="preserve">Threat assessment identifies attack paths and potential threat agents. A weakness that may compromise an asset is a potential vulnerability; an attacker may try to exploit it for tangible or intangible gain.</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800"/>
        <w:gridCol w:w="2724"/>
      </w:tblGrid>
      <w:tr>
        <w:trPr>
          <w:cantSplit/>
          <w:tblHeader/>
        </w:trPr>
        <w:tc>
          <w:tcPr>
            <w:tcW w:type="dxa" w:w="2400"/>
            <w:tcBorders>
              <w:top w:val="single" w:color="000000" w:sz="4"/>
              <w:left w:val="single" w:color="000000" w:sz="4"/>
              <w:bottom w:val="single" w:color="000000" w:sz="4"/>
              <w:right w:val="single" w:color="000000" w:sz="4"/>
            </w:tcBorders>
            <w:shd w:fill="BE520F" w:color="auto" w:val="clear"/>
            <w:tcMar>
              <w:top w:type="dxa" w:w="90"/>
              <w:left w:type="dxa" w:w="100"/>
              <w:bottom w:type="dxa" w:w="90"/>
              <w:right w:type="dxa" w:w="100"/>
            </w:tcMar>
            <w:vAlign w:val="center"/>
          </w:tcPr>
          <w:p>
            <w:pPr>
              <w:spacing w:after="0" w:line="259"/>
            </w:pPr>
            <w:r>
              <w:rPr>
                <w:rFonts w:ascii="Aptos" w:cs="Aptos" w:eastAsia="Aptos" w:hAnsi="Aptos"/>
                <w:b/>
                <w:bCs/>
                <w:color w:val="FFFFFF"/>
                <w:sz w:val="17"/>
                <w:szCs w:val="17"/>
              </w:rPr>
              <w:t xml:space="preserve">Threat</w:t>
            </w:r>
          </w:p>
        </w:tc>
        <w:tc>
          <w:tcPr>
            <w:tcW w:type="dxa" w:w="2300"/>
            <w:tcBorders>
              <w:top w:val="single" w:color="000000" w:sz="4"/>
              <w:left w:val="single" w:color="000000" w:sz="4"/>
              <w:bottom w:val="single" w:color="000000" w:sz="4"/>
              <w:right w:val="single" w:color="000000" w:sz="4"/>
            </w:tcBorders>
            <w:shd w:fill="BE520F" w:color="auto" w:val="clear"/>
            <w:tcMar>
              <w:top w:type="dxa" w:w="90"/>
              <w:left w:type="dxa" w:w="100"/>
              <w:bottom w:type="dxa" w:w="90"/>
              <w:right w:type="dxa" w:w="100"/>
            </w:tcMar>
            <w:vAlign w:val="center"/>
          </w:tcPr>
          <w:p>
            <w:pPr>
              <w:spacing w:after="0" w:line="259"/>
            </w:pPr>
            <w:r>
              <w:rPr>
                <w:rFonts w:ascii="Aptos" w:cs="Aptos" w:eastAsia="Aptos" w:hAnsi="Aptos"/>
                <w:b/>
                <w:bCs/>
                <w:color w:val="FFFFFF"/>
                <w:sz w:val="17"/>
                <w:szCs w:val="17"/>
              </w:rPr>
              <w:t xml:space="preserve">Threat agent</w:t>
            </w:r>
          </w:p>
        </w:tc>
        <w:tc>
          <w:tcPr>
            <w:tcW w:type="dxa" w:w="2800"/>
            <w:tcBorders>
              <w:top w:val="single" w:color="000000" w:sz="4"/>
              <w:left w:val="single" w:color="000000" w:sz="4"/>
              <w:bottom w:val="single" w:color="000000" w:sz="4"/>
              <w:right w:val="single" w:color="000000" w:sz="4"/>
            </w:tcBorders>
            <w:shd w:fill="BE520F" w:color="auto" w:val="clear"/>
            <w:tcMar>
              <w:top w:type="dxa" w:w="90"/>
              <w:left w:type="dxa" w:w="100"/>
              <w:bottom w:type="dxa" w:w="90"/>
              <w:right w:type="dxa" w:w="100"/>
            </w:tcMar>
            <w:vAlign w:val="center"/>
          </w:tcPr>
          <w:p>
            <w:pPr>
              <w:spacing w:after="0" w:line="259"/>
            </w:pPr>
            <w:r>
              <w:rPr>
                <w:rFonts w:ascii="Aptos" w:cs="Aptos" w:eastAsia="Aptos" w:hAnsi="Aptos"/>
                <w:b/>
                <w:bCs/>
                <w:color w:val="FFFFFF"/>
                <w:sz w:val="17"/>
                <w:szCs w:val="17"/>
              </w:rPr>
              <w:t xml:space="preserve">Possible weakness</w:t>
            </w:r>
          </w:p>
        </w:tc>
        <w:tc>
          <w:tcPr>
            <w:tcW w:type="dxa" w:w="2724"/>
            <w:tcBorders>
              <w:top w:val="single" w:color="000000" w:sz="4"/>
              <w:left w:val="single" w:color="000000" w:sz="4"/>
              <w:bottom w:val="single" w:color="000000" w:sz="4"/>
              <w:right w:val="single" w:color="000000" w:sz="4"/>
            </w:tcBorders>
            <w:shd w:fill="BE520F" w:color="auto" w:val="clear"/>
            <w:tcMar>
              <w:top w:type="dxa" w:w="90"/>
              <w:left w:type="dxa" w:w="100"/>
              <w:bottom w:type="dxa" w:w="90"/>
              <w:right w:type="dxa" w:w="100"/>
            </w:tcMar>
            <w:vAlign w:val="center"/>
          </w:tcPr>
          <w:p>
            <w:pPr>
              <w:spacing w:after="0" w:line="259"/>
            </w:pPr>
            <w:r>
              <w:rPr>
                <w:rFonts w:ascii="Aptos" w:cs="Aptos" w:eastAsia="Aptos" w:hAnsi="Aptos"/>
                <w:b/>
                <w:bCs/>
                <w:color w:val="FFFFFF"/>
                <w:sz w:val="17"/>
                <w:szCs w:val="17"/>
              </w:rPr>
              <w:t xml:space="preserve">Potential impact</w:t>
            </w:r>
          </w:p>
        </w:tc>
      </w:tr>
      <w:tr>
        <w:trPr>
          <w:cantSplit/>
        </w:trPr>
        <w:tc>
          <w:tcPr>
            <w:tcW w:type="dxa" w:w="24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Credential theft / brute force</w:t>
            </w:r>
          </w:p>
        </w:tc>
        <w:tc>
          <w:tcPr>
            <w:tcW w:type="dxa" w:w="23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External attacker</w:t>
            </w:r>
          </w:p>
        </w:tc>
        <w:tc>
          <w:tcPr>
            <w:tcW w:type="dxa" w:w="2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Weak passwords; unlimited login attempts</w:t>
            </w:r>
          </w:p>
        </w:tc>
        <w:tc>
          <w:tcPr>
            <w:tcW w:type="dxa" w:w="27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Account takeover</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Unauthorized access to another student's data (IDOR)</w:t>
            </w:r>
          </w:p>
        </w:tc>
        <w:tc>
          <w:tcPr>
            <w:tcW w:type="dxa" w:w="23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Malicious student; external attacker</w:t>
            </w:r>
          </w:p>
        </w:tc>
        <w:tc>
          <w:tcPr>
            <w:tcW w:type="dxa" w:w="2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Missing ownership checks on applications, attempts, analytics</w:t>
            </w:r>
          </w:p>
        </w:tc>
        <w:tc>
          <w:tcPr>
            <w:tcW w:type="dxa" w:w="27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Disclosure or modification of records</w:t>
            </w:r>
          </w:p>
        </w:tc>
      </w:tr>
      <w:tr>
        <w:trPr>
          <w:cantSplit/>
        </w:trPr>
        <w:tc>
          <w:tcPr>
            <w:tcW w:type="dxa" w:w="24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Privilege escalation to Admin functions</w:t>
            </w:r>
          </w:p>
        </w:tc>
        <w:tc>
          <w:tcPr>
            <w:tcW w:type="dxa" w:w="23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Malicious student</w:t>
            </w:r>
          </w:p>
        </w:tc>
        <w:tc>
          <w:tcPr>
            <w:tcW w:type="dxa" w:w="2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Role checked only in the UI</w:t>
            </w:r>
          </w:p>
        </w:tc>
        <w:tc>
          <w:tcPr>
            <w:tcW w:type="dxa" w:w="27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Unauthorized changes to listings, questions, application status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SQL/NoSQL injection and XSS</w:t>
            </w:r>
          </w:p>
        </w:tc>
        <w:tc>
          <w:tcPr>
            <w:tcW w:type="dxa" w:w="23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External attacker; malicious user</w:t>
            </w:r>
          </w:p>
        </w:tc>
        <w:tc>
          <w:tcPr>
            <w:tcW w:type="dxa" w:w="2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Unsafe query construction; unescaped output of listings and notes</w:t>
            </w:r>
          </w:p>
        </w:tc>
        <w:tc>
          <w:tcPr>
            <w:tcW w:type="dxa" w:w="27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Data disclosure, tampering, session theft</w:t>
            </w:r>
          </w:p>
        </w:tc>
      </w:tr>
      <w:tr>
        <w:trPr>
          <w:cantSplit/>
        </w:trPr>
        <w:tc>
          <w:tcPr>
            <w:tcW w:type="dxa" w:w="24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Session hijacking</w:t>
            </w:r>
          </w:p>
        </w:tc>
        <w:tc>
          <w:tcPr>
            <w:tcW w:type="dxa" w:w="23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External attacker</w:t>
            </w:r>
          </w:p>
        </w:tc>
        <w:tc>
          <w:tcPr>
            <w:tcW w:type="dxa" w:w="2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Token exposure; sessions not invalidated</w:t>
            </w:r>
          </w:p>
        </w:tc>
        <w:tc>
          <w:tcPr>
            <w:tcW w:type="dxa" w:w="27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User impersonation</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Answer-key leakage / test cheating</w:t>
            </w:r>
          </w:p>
        </w:tc>
        <w:tc>
          <w:tcPr>
            <w:tcW w:type="dxa" w:w="23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Malicious student</w:t>
            </w:r>
          </w:p>
        </w:tc>
        <w:tc>
          <w:tcPr>
            <w:tcW w:type="dxa" w:w="2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Answers or correct options sent to the browser; client-side timer</w:t>
            </w:r>
          </w:p>
        </w:tc>
        <w:tc>
          <w:tcPr>
            <w:tcW w:type="dxa" w:w="27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Invalid scores, unfair results</w:t>
            </w:r>
          </w:p>
        </w:tc>
      </w:tr>
      <w:tr>
        <w:trPr>
          <w:cantSplit/>
        </w:trPr>
        <w:tc>
          <w:tcPr>
            <w:tcW w:type="dxa" w:w="24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Timer and auto-submit tampering</w:t>
            </w:r>
          </w:p>
        </w:tc>
        <w:tc>
          <w:tcPr>
            <w:tcW w:type="dxa" w:w="23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Malicious student</w:t>
            </w:r>
          </w:p>
        </w:tc>
        <w:tc>
          <w:tcPr>
            <w:tcW w:type="dxa" w:w="2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Time limit enforced only in the browser</w:t>
            </w:r>
          </w:p>
        </w:tc>
        <w:tc>
          <w:tcPr>
            <w:tcW w:type="dxa" w:w="27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Unlimited time, repeated or duplicate submissions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Malicious resume or file upload</w:t>
            </w:r>
          </w:p>
        </w:tc>
        <w:tc>
          <w:tcPr>
            <w:tcW w:type="dxa" w:w="23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External attacker; malicious student</w:t>
            </w:r>
          </w:p>
        </w:tc>
        <w:tc>
          <w:tcPr>
            <w:tcW w:type="dxa" w:w="2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No file type, size or content checks</w:t>
            </w:r>
          </w:p>
        </w:tc>
        <w:tc>
          <w:tcPr>
            <w:tcW w:type="dxa" w:w="27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Malware, stored XSS, storage exhaustion</w:t>
            </w:r>
          </w:p>
        </w:tc>
      </w:tr>
      <w:tr>
        <w:trPr>
          <w:cantSplit/>
        </w:trPr>
        <w:tc>
          <w:tcPr>
            <w:tcW w:type="dxa" w:w="24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Malicious code in coding questions</w:t>
            </w:r>
          </w:p>
        </w:tc>
        <w:tc>
          <w:tcPr>
            <w:tcW w:type="dxa" w:w="23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Malicious student</w:t>
            </w:r>
          </w:p>
        </w:tc>
        <w:tc>
          <w:tcPr>
            <w:tcW w:type="dxa" w:w="2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Submitted code run without sandboxing</w:t>
            </w:r>
          </w:p>
        </w:tc>
        <w:tc>
          <w:tcPr>
            <w:tcW w:type="dxa" w:w="27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Server compromise; denial of service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Expired-deadline or duplicate application bypass</w:t>
            </w:r>
          </w:p>
        </w:tc>
        <w:tc>
          <w:tcPr>
            <w:tcW w:type="dxa" w:w="23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Malicious student</w:t>
            </w:r>
          </w:p>
        </w:tc>
        <w:tc>
          <w:tcPr>
            <w:tcW w:type="dxa" w:w="2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Deadline and duplicate checks only in the UI</w:t>
            </w:r>
          </w:p>
        </w:tc>
        <w:tc>
          <w:tcPr>
            <w:tcW w:type="dxa" w:w="27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Invalid applications, data integrity loss</w:t>
            </w:r>
          </w:p>
        </w:tc>
      </w:tr>
      <w:tr>
        <w:trPr>
          <w:cantSplit/>
        </w:trPr>
        <w:tc>
          <w:tcPr>
            <w:tcW w:type="dxa" w:w="24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Admin account compromise or misuse</w:t>
            </w:r>
          </w:p>
        </w:tc>
        <w:tc>
          <w:tcPr>
            <w:tcW w:type="dxa" w:w="23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Malicious or compromised admin</w:t>
            </w:r>
          </w:p>
        </w:tc>
        <w:tc>
          <w:tcPr>
            <w:tcW w:type="dxa" w:w="2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Weak controls; no audit trail</w:t>
            </w:r>
          </w:p>
        </w:tc>
        <w:tc>
          <w:tcPr>
            <w:tcW w:type="dxa" w:w="27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Bulk exposure of student data</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Database or backup exposure</w:t>
            </w:r>
          </w:p>
        </w:tc>
        <w:tc>
          <w:tcPr>
            <w:tcW w:type="dxa" w:w="23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Attacker or insider</w:t>
            </w:r>
          </w:p>
        </w:tc>
        <w:tc>
          <w:tcPr>
            <w:tcW w:type="dxa" w:w="2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Broad access; unencrypted backups</w:t>
            </w:r>
          </w:p>
        </w:tc>
        <w:tc>
          <w:tcPr>
            <w:tcW w:type="dxa" w:w="27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Bulk disclosure or data loss</w:t>
            </w:r>
          </w:p>
        </w:tc>
      </w:tr>
      <w:tr>
        <w:trPr>
          <w:cantSplit/>
        </w:trPr>
        <w:tc>
          <w:tcPr>
            <w:tcW w:type="dxa" w:w="24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Service disruption / data loss</w:t>
            </w:r>
          </w:p>
        </w:tc>
        <w:tc>
          <w:tcPr>
            <w:tcW w:type="dxa" w:w="23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Attacker, failure or accident</w:t>
            </w:r>
          </w:p>
        </w:tc>
        <w:tc>
          <w:tcPr>
            <w:tcW w:type="dxa" w:w="2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No recovery plan; no rate limits</w:t>
            </w:r>
          </w:p>
        </w:tc>
        <w:tc>
          <w:tcPr>
            <w:tcW w:type="dxa" w:w="27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Downtime; lost attempts and records</w:t>
            </w:r>
          </w:p>
        </w:tc>
      </w:tr>
    </w:tbl>
    <w:p>
      <w:pPr>
        <w:pStyle w:val="Heading1"/>
      </w:pPr>
      <w:r>
        <w:t xml:space="preserve">4. Security Risk Assessment (SRA)</w:t>
      </w:r>
    </w:p>
    <w:p>
      <w:pPr>
        <w:spacing w:after="100" w:line="259"/>
      </w:pPr>
      <w:r>
        <w:rPr>
          <w:rFonts w:ascii="Aptos" w:cs="Aptos" w:eastAsia="Aptos" w:hAnsi="Aptos"/>
          <w:color w:val="2D2D2D"/>
        </w:rPr>
        <w:t xml:space="preserve">SRA is a structured process to identify, quantify, and prioritize security risks. This initial qualitative assessment considers likelihood of exploitation and impact if it occurs. Ratings are estimates for the student project and should be reviewed as the design evolves.</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4800"/>
        <w:gridCol w:w="1800"/>
        <w:gridCol w:w="1800"/>
        <w:gridCol w:w="1824"/>
      </w:tblGrid>
      <w:tr>
        <w:trPr>
          <w:cantSplit/>
          <w:tblHeader/>
        </w:trPr>
        <w:tc>
          <w:tcPr>
            <w:tcW w:type="dxa" w:w="4800"/>
            <w:tcBorders>
              <w:top w:val="single" w:color="000000" w:sz="4"/>
              <w:left w:val="single" w:color="000000" w:sz="4"/>
              <w:bottom w:val="single" w:color="000000" w:sz="4"/>
              <w:right w:val="single" w:color="000000" w:sz="4"/>
            </w:tcBorders>
            <w:shd w:fill="BE520F" w:color="auto" w:val="clear"/>
            <w:tcMar>
              <w:top w:type="dxa" w:w="90"/>
              <w:left w:type="dxa" w:w="100"/>
              <w:bottom w:type="dxa" w:w="90"/>
              <w:right w:type="dxa" w:w="100"/>
            </w:tcMar>
            <w:vAlign w:val="center"/>
          </w:tcPr>
          <w:p>
            <w:pPr>
              <w:spacing w:after="0" w:line="259"/>
            </w:pPr>
            <w:r>
              <w:rPr>
                <w:rFonts w:ascii="Aptos" w:cs="Aptos" w:eastAsia="Aptos" w:hAnsi="Aptos"/>
                <w:b/>
                <w:bCs/>
                <w:color w:val="FFFFFF"/>
                <w:sz w:val="17"/>
                <w:szCs w:val="17"/>
              </w:rPr>
              <w:t xml:space="preserve">Risk</w:t>
            </w:r>
          </w:p>
        </w:tc>
        <w:tc>
          <w:tcPr>
            <w:tcW w:type="dxa" w:w="1800"/>
            <w:tcBorders>
              <w:top w:val="single" w:color="000000" w:sz="4"/>
              <w:left w:val="single" w:color="000000" w:sz="4"/>
              <w:bottom w:val="single" w:color="000000" w:sz="4"/>
              <w:right w:val="single" w:color="000000" w:sz="4"/>
            </w:tcBorders>
            <w:shd w:fill="BE520F" w:color="auto" w:val="clear"/>
            <w:tcMar>
              <w:top w:type="dxa" w:w="90"/>
              <w:left w:type="dxa" w:w="100"/>
              <w:bottom w:type="dxa" w:w="90"/>
              <w:right w:type="dxa" w:w="100"/>
            </w:tcMar>
            <w:vAlign w:val="center"/>
          </w:tcPr>
          <w:p>
            <w:pPr>
              <w:spacing w:after="0" w:line="259"/>
            </w:pPr>
            <w:r>
              <w:rPr>
                <w:rFonts w:ascii="Aptos" w:cs="Aptos" w:eastAsia="Aptos" w:hAnsi="Aptos"/>
                <w:b/>
                <w:bCs/>
                <w:color w:val="FFFFFF"/>
                <w:sz w:val="17"/>
                <w:szCs w:val="17"/>
              </w:rPr>
              <w:t xml:space="preserve">Likelihood</w:t>
            </w:r>
          </w:p>
        </w:tc>
        <w:tc>
          <w:tcPr>
            <w:tcW w:type="dxa" w:w="1800"/>
            <w:tcBorders>
              <w:top w:val="single" w:color="000000" w:sz="4"/>
              <w:left w:val="single" w:color="000000" w:sz="4"/>
              <w:bottom w:val="single" w:color="000000" w:sz="4"/>
              <w:right w:val="single" w:color="000000" w:sz="4"/>
            </w:tcBorders>
            <w:shd w:fill="BE520F" w:color="auto" w:val="clear"/>
            <w:tcMar>
              <w:top w:type="dxa" w:w="90"/>
              <w:left w:type="dxa" w:w="100"/>
              <w:bottom w:type="dxa" w:w="90"/>
              <w:right w:type="dxa" w:w="100"/>
            </w:tcMar>
            <w:vAlign w:val="center"/>
          </w:tcPr>
          <w:p>
            <w:pPr>
              <w:spacing w:after="0" w:line="259"/>
            </w:pPr>
            <w:r>
              <w:rPr>
                <w:rFonts w:ascii="Aptos" w:cs="Aptos" w:eastAsia="Aptos" w:hAnsi="Aptos"/>
                <w:b/>
                <w:bCs/>
                <w:color w:val="FFFFFF"/>
                <w:sz w:val="17"/>
                <w:szCs w:val="17"/>
              </w:rPr>
              <w:t xml:space="preserve">Impact</w:t>
            </w:r>
          </w:p>
        </w:tc>
        <w:tc>
          <w:tcPr>
            <w:tcW w:type="dxa" w:w="1824"/>
            <w:tcBorders>
              <w:top w:val="single" w:color="000000" w:sz="4"/>
              <w:left w:val="single" w:color="000000" w:sz="4"/>
              <w:bottom w:val="single" w:color="000000" w:sz="4"/>
              <w:right w:val="single" w:color="000000" w:sz="4"/>
            </w:tcBorders>
            <w:shd w:fill="BE520F" w:color="auto" w:val="clear"/>
            <w:tcMar>
              <w:top w:type="dxa" w:w="90"/>
              <w:left w:type="dxa" w:w="100"/>
              <w:bottom w:type="dxa" w:w="90"/>
              <w:right w:type="dxa" w:w="100"/>
            </w:tcMar>
            <w:vAlign w:val="center"/>
          </w:tcPr>
          <w:p>
            <w:pPr>
              <w:spacing w:after="0" w:line="259"/>
            </w:pPr>
            <w:r>
              <w:rPr>
                <w:rFonts w:ascii="Aptos" w:cs="Aptos" w:eastAsia="Aptos" w:hAnsi="Aptos"/>
                <w:b/>
                <w:bCs/>
                <w:color w:val="FFFFFF"/>
                <w:sz w:val="17"/>
                <w:szCs w:val="17"/>
              </w:rPr>
              <w:t xml:space="preserve">Rating</w:t>
            </w:r>
          </w:p>
        </w:tc>
      </w:tr>
      <w:tr>
        <w:trPr>
          <w:cantSplit/>
        </w:trPr>
        <w:tc>
          <w:tcPr>
            <w:tcW w:type="dxa" w:w="4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Unauthorized access to other students' data</w:t>
            </w:r>
          </w:p>
        </w:tc>
        <w:tc>
          <w:tcPr>
            <w:tcW w:type="dxa" w:w="1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Medium</w:t>
            </w:r>
          </w:p>
        </w:tc>
        <w:tc>
          <w:tcPr>
            <w:tcW w:type="dxa" w:w="1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High</w:t>
            </w:r>
          </w:p>
        </w:tc>
        <w:tc>
          <w:tcPr>
            <w:tcW w:type="dxa" w:w="18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High</w:t>
            </w:r>
          </w:p>
        </w:tc>
      </w:tr>
      <w:tr>
        <w:trPr>
          <w:cantSplit/>
        </w:trPr>
        <w:tc>
          <w:tcPr>
            <w:tcW w:type="dxa" w:w="4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Brute-force login / account takeover</w:t>
            </w:r>
          </w:p>
        </w:tc>
        <w:tc>
          <w:tcPr>
            <w:tcW w:type="dxa" w:w="1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Medium</w:t>
            </w:r>
          </w:p>
        </w:tc>
        <w:tc>
          <w:tcPr>
            <w:tcW w:type="dxa" w:w="1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High</w:t>
            </w:r>
          </w:p>
        </w:tc>
        <w:tc>
          <w:tcPr>
            <w:tcW w:type="dxa" w:w="18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High</w:t>
            </w:r>
          </w:p>
        </w:tc>
      </w:tr>
      <w:tr>
        <w:trPr>
          <w:cantSplit/>
        </w:trPr>
        <w:tc>
          <w:tcPr>
            <w:tcW w:type="dxa" w:w="4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Injection (SQL/NoSQL/XSS) through user input</w:t>
            </w:r>
          </w:p>
        </w:tc>
        <w:tc>
          <w:tcPr>
            <w:tcW w:type="dxa" w:w="1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Medium</w:t>
            </w:r>
          </w:p>
        </w:tc>
        <w:tc>
          <w:tcPr>
            <w:tcW w:type="dxa" w:w="1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High</w:t>
            </w:r>
          </w:p>
        </w:tc>
        <w:tc>
          <w:tcPr>
            <w:tcW w:type="dxa" w:w="18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High</w:t>
            </w:r>
          </w:p>
        </w:tc>
      </w:tr>
      <w:tr>
        <w:trPr>
          <w:cantSplit/>
        </w:trPr>
        <w:tc>
          <w:tcPr>
            <w:tcW w:type="dxa" w:w="4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Privilege escalation to Admin</w:t>
            </w:r>
          </w:p>
        </w:tc>
        <w:tc>
          <w:tcPr>
            <w:tcW w:type="dxa" w:w="1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Low–Medium</w:t>
            </w:r>
          </w:p>
        </w:tc>
        <w:tc>
          <w:tcPr>
            <w:tcW w:type="dxa" w:w="1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High</w:t>
            </w:r>
          </w:p>
        </w:tc>
        <w:tc>
          <w:tcPr>
            <w:tcW w:type="dxa" w:w="18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High</w:t>
            </w:r>
          </w:p>
        </w:tc>
      </w:tr>
      <w:tr>
        <w:trPr>
          <w:cantSplit/>
        </w:trPr>
        <w:tc>
          <w:tcPr>
            <w:tcW w:type="dxa" w:w="4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Session token exposure</w:t>
            </w:r>
          </w:p>
        </w:tc>
        <w:tc>
          <w:tcPr>
            <w:tcW w:type="dxa" w:w="1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Medium</w:t>
            </w:r>
          </w:p>
        </w:tc>
        <w:tc>
          <w:tcPr>
            <w:tcW w:type="dxa" w:w="1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High</w:t>
            </w:r>
          </w:p>
        </w:tc>
        <w:tc>
          <w:tcPr>
            <w:tcW w:type="dxa" w:w="18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High</w:t>
            </w:r>
          </w:p>
        </w:tc>
      </w:tr>
      <w:tr>
        <w:trPr>
          <w:cantSplit/>
        </w:trPr>
        <w:tc>
          <w:tcPr>
            <w:tcW w:type="dxa" w:w="4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Answer-key leakage / test cheating</w:t>
            </w:r>
          </w:p>
        </w:tc>
        <w:tc>
          <w:tcPr>
            <w:tcW w:type="dxa" w:w="1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Medium</w:t>
            </w:r>
          </w:p>
        </w:tc>
        <w:tc>
          <w:tcPr>
            <w:tcW w:type="dxa" w:w="1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Medium–High</w:t>
            </w:r>
          </w:p>
        </w:tc>
        <w:tc>
          <w:tcPr>
            <w:tcW w:type="dxa" w:w="18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Medium–High</w:t>
            </w:r>
          </w:p>
        </w:tc>
      </w:tr>
      <w:tr>
        <w:trPr>
          <w:cantSplit/>
        </w:trPr>
        <w:tc>
          <w:tcPr>
            <w:tcW w:type="dxa" w:w="4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Timer or auto-submit tampering</w:t>
            </w:r>
          </w:p>
        </w:tc>
        <w:tc>
          <w:tcPr>
            <w:tcW w:type="dxa" w:w="1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Medium</w:t>
            </w:r>
          </w:p>
        </w:tc>
        <w:tc>
          <w:tcPr>
            <w:tcW w:type="dxa" w:w="1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Medium</w:t>
            </w:r>
          </w:p>
        </w:tc>
        <w:tc>
          <w:tcPr>
            <w:tcW w:type="dxa" w:w="18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Medium</w:t>
            </w:r>
          </w:p>
        </w:tc>
      </w:tr>
      <w:tr>
        <w:trPr>
          <w:cantSplit/>
        </w:trPr>
        <w:tc>
          <w:tcPr>
            <w:tcW w:type="dxa" w:w="4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Malicious file upload (resumes)</w:t>
            </w:r>
          </w:p>
        </w:tc>
        <w:tc>
          <w:tcPr>
            <w:tcW w:type="dxa" w:w="1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Medium</w:t>
            </w:r>
          </w:p>
        </w:tc>
        <w:tc>
          <w:tcPr>
            <w:tcW w:type="dxa" w:w="1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High</w:t>
            </w:r>
          </w:p>
        </w:tc>
        <w:tc>
          <w:tcPr>
            <w:tcW w:type="dxa" w:w="18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High</w:t>
            </w:r>
          </w:p>
        </w:tc>
      </w:tr>
      <w:tr>
        <w:trPr>
          <w:cantSplit/>
        </w:trPr>
        <w:tc>
          <w:tcPr>
            <w:tcW w:type="dxa" w:w="4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Malicious code execution (coding questions)</w:t>
            </w:r>
          </w:p>
        </w:tc>
        <w:tc>
          <w:tcPr>
            <w:tcW w:type="dxa" w:w="1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Low–Medium</w:t>
            </w:r>
          </w:p>
        </w:tc>
        <w:tc>
          <w:tcPr>
            <w:tcW w:type="dxa" w:w="1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High</w:t>
            </w:r>
          </w:p>
        </w:tc>
        <w:tc>
          <w:tcPr>
            <w:tcW w:type="dxa" w:w="18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Medium–High</w:t>
            </w:r>
          </w:p>
        </w:tc>
      </w:tr>
      <w:tr>
        <w:trPr>
          <w:cantSplit/>
        </w:trPr>
        <w:tc>
          <w:tcPr>
            <w:tcW w:type="dxa" w:w="4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Admin privilege misuse</w:t>
            </w:r>
          </w:p>
        </w:tc>
        <w:tc>
          <w:tcPr>
            <w:tcW w:type="dxa" w:w="1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Low–Medium</w:t>
            </w:r>
          </w:p>
        </w:tc>
        <w:tc>
          <w:tcPr>
            <w:tcW w:type="dxa" w:w="1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High</w:t>
            </w:r>
          </w:p>
        </w:tc>
        <w:tc>
          <w:tcPr>
            <w:tcW w:type="dxa" w:w="18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Medium–High</w:t>
            </w:r>
          </w:p>
        </w:tc>
      </w:tr>
      <w:tr>
        <w:trPr>
          <w:cantSplit/>
        </w:trPr>
        <w:tc>
          <w:tcPr>
            <w:tcW w:type="dxa" w:w="4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Database or backup exposure</w:t>
            </w:r>
          </w:p>
        </w:tc>
        <w:tc>
          <w:tcPr>
            <w:tcW w:type="dxa" w:w="1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Low–Medium</w:t>
            </w:r>
          </w:p>
        </w:tc>
        <w:tc>
          <w:tcPr>
            <w:tcW w:type="dxa" w:w="1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High</w:t>
            </w:r>
          </w:p>
        </w:tc>
        <w:tc>
          <w:tcPr>
            <w:tcW w:type="dxa" w:w="18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High</w:t>
            </w:r>
          </w:p>
        </w:tc>
      </w:tr>
      <w:tr>
        <w:trPr>
          <w:cantSplit/>
        </w:trPr>
        <w:tc>
          <w:tcPr>
            <w:tcW w:type="dxa" w:w="4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Data loss or service unavailability</w:t>
            </w:r>
          </w:p>
        </w:tc>
        <w:tc>
          <w:tcPr>
            <w:tcW w:type="dxa" w:w="1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Medium</w:t>
            </w:r>
          </w:p>
        </w:tc>
        <w:tc>
          <w:tcPr>
            <w:tcW w:type="dxa" w:w="1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Medium–High</w:t>
            </w:r>
          </w:p>
        </w:tc>
        <w:tc>
          <w:tcPr>
            <w:tcW w:type="dxa" w:w="18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Medium–High</w:t>
            </w:r>
          </w:p>
        </w:tc>
      </w:tr>
    </w:tbl>
    <w:p>
      <w:pPr>
        <w:spacing w:after="60"/>
      </w:pPr>
    </w:p>
    <w:p>
      <w:pPr>
        <w:spacing w:after="100" w:line="259"/>
      </w:pPr>
      <w:r>
        <w:rPr>
          <w:rFonts w:ascii="Aptos" w:cs="Aptos" w:eastAsia="Aptos" w:hAnsi="Aptos"/>
          <w:color w:val="2D2D2D"/>
        </w:rPr>
        <w:t xml:space="preserve">Rating guide: High risks require priority mitigation; Medium risks need planned safeguards and testing; Low risks should still be monitored. These ratings are project estimates, not measured incident statistics.</w:t>
      </w:r>
    </w:p>
    <w:p>
      <w:pPr>
        <w:pStyle w:val="Heading1"/>
      </w:pPr>
      <w:r>
        <w:t xml:space="preserve">5. Security Objectives</w:t>
      </w:r>
    </w:p>
    <w:p>
      <w:pPr>
        <w:spacing w:after="100" w:line="259"/>
      </w:pPr>
      <w:r>
        <w:rPr>
          <w:rFonts w:ascii="Aptos" w:cs="Aptos" w:eastAsia="Aptos" w:hAnsi="Aptos"/>
          <w:color w:val="2D2D2D"/>
        </w:rPr>
        <w:t xml:space="preserve">Security objectives translate high-priority risks into measurable outcomes. Objectives should follow SMART criteria: Specific, Measurable, Achievable, Relevant, and Time-bound.</w:t>
      </w:r>
    </w:p>
    <w:p>
      <w:pPr>
        <w:pStyle w:val="ListParagraph"/>
        <w:numPr>
          <w:ilvl w:val="0"/>
          <w:numId w:val="2"/>
        </w:numPr>
        <w:spacing w:after="100" w:line="259"/>
      </w:pPr>
      <w:r>
        <w:rPr>
          <w:rFonts w:ascii="Aptos" w:cs="Aptos" w:eastAsia="Aptos" w:hAnsi="Aptos"/>
          <w:b/>
          <w:bCs/>
          <w:color w:val="2D2D2D"/>
        </w:rPr>
        <w:t xml:space="preserve">SO-01 — Protect user accounts: </w:t>
      </w:r>
      <w:r>
        <w:rPr>
          <w:rFonts w:ascii="Aptos" w:cs="Aptos" w:eastAsia="Aptos" w:hAnsi="Aptos"/>
          <w:color w:val="2D2D2D"/>
        </w:rPr>
        <w:t xml:space="preserve">Reduce account takeover through secure password storage, login throttling and generic login errors.</w:t>
      </w:r>
    </w:p>
    <w:p>
      <w:pPr>
        <w:pStyle w:val="ListParagraph"/>
        <w:numPr>
          <w:ilvl w:val="0"/>
          <w:numId w:val="2"/>
        </w:numPr>
        <w:spacing w:after="100" w:line="259"/>
      </w:pPr>
      <w:r>
        <w:rPr>
          <w:rFonts w:ascii="Aptos" w:cs="Aptos" w:eastAsia="Aptos" w:hAnsi="Aptos"/>
          <w:b/>
          <w:bCs/>
          <w:color w:val="2D2D2D"/>
        </w:rPr>
        <w:t xml:space="preserve">SO-02 — Enforce data separation: </w:t>
      </w:r>
      <w:r>
        <w:rPr>
          <w:rFonts w:ascii="Aptos" w:cs="Aptos" w:eastAsia="Aptos" w:hAnsi="Aptos"/>
          <w:color w:val="2D2D2D"/>
        </w:rPr>
        <w:t xml:space="preserve">Ensure students can access only their own profile, applications, attempts, history and analytics.</w:t>
      </w:r>
    </w:p>
    <w:p>
      <w:pPr>
        <w:pStyle w:val="ListParagraph"/>
        <w:numPr>
          <w:ilvl w:val="0"/>
          <w:numId w:val="2"/>
        </w:numPr>
        <w:spacing w:after="100" w:line="259"/>
      </w:pPr>
      <w:r>
        <w:rPr>
          <w:rFonts w:ascii="Aptos" w:cs="Aptos" w:eastAsia="Aptos" w:hAnsi="Aptos"/>
          <w:b/>
          <w:bCs/>
          <w:color w:val="2D2D2D"/>
        </w:rPr>
        <w:t xml:space="preserve">SO-03 — Enforce role-based access: </w:t>
      </w:r>
      <w:r>
        <w:rPr>
          <w:rFonts w:ascii="Aptos" w:cs="Aptos" w:eastAsia="Aptos" w:hAnsi="Aptos"/>
          <w:color w:val="2D2D2D"/>
        </w:rPr>
        <w:t xml:space="preserve">Restrict listing, question bank and application-review operations to authenticated, explicitly authorized administrators.</w:t>
      </w:r>
    </w:p>
    <w:p>
      <w:pPr>
        <w:pStyle w:val="ListParagraph"/>
        <w:numPr>
          <w:ilvl w:val="0"/>
          <w:numId w:val="2"/>
        </w:numPr>
        <w:spacing w:after="100" w:line="259"/>
      </w:pPr>
      <w:r>
        <w:rPr>
          <w:rFonts w:ascii="Aptos" w:cs="Aptos" w:eastAsia="Aptos" w:hAnsi="Aptos"/>
          <w:b/>
          <w:bCs/>
          <w:color w:val="2D2D2D"/>
        </w:rPr>
        <w:t xml:space="preserve">SO-04 — Protect data in transit: </w:t>
      </w:r>
      <w:r>
        <w:rPr>
          <w:rFonts w:ascii="Aptos" w:cs="Aptos" w:eastAsia="Aptos" w:hAnsi="Aptos"/>
          <w:color w:val="2D2D2D"/>
        </w:rPr>
        <w:t xml:space="preserve">Use HTTPS with TLS 1.2 or higher for all application traffic in deployed environments.</w:t>
      </w:r>
    </w:p>
    <w:p>
      <w:pPr>
        <w:pStyle w:val="ListParagraph"/>
        <w:numPr>
          <w:ilvl w:val="0"/>
          <w:numId w:val="2"/>
        </w:numPr>
        <w:spacing w:after="100" w:line="259"/>
      </w:pPr>
      <w:r>
        <w:rPr>
          <w:rFonts w:ascii="Aptos" w:cs="Aptos" w:eastAsia="Aptos" w:hAnsi="Aptos"/>
          <w:b/>
          <w:bCs/>
          <w:color w:val="2D2D2D"/>
        </w:rPr>
        <w:t xml:space="preserve">SO-05 — Prevent injection and unsafe input: </w:t>
      </w:r>
      <w:r>
        <w:rPr>
          <w:rFonts w:ascii="Aptos" w:cs="Aptos" w:eastAsia="Aptos" w:hAnsi="Aptos"/>
          <w:color w:val="2D2D2D"/>
        </w:rPr>
        <w:t xml:space="preserve">Use parameterized database operations, server-side validation and output encoding.</w:t>
      </w:r>
    </w:p>
    <w:p>
      <w:pPr>
        <w:pStyle w:val="ListParagraph"/>
        <w:numPr>
          <w:ilvl w:val="0"/>
          <w:numId w:val="2"/>
        </w:numPr>
        <w:spacing w:after="100" w:line="259"/>
      </w:pPr>
      <w:r>
        <w:rPr>
          <w:rFonts w:ascii="Aptos" w:cs="Aptos" w:eastAsia="Aptos" w:hAnsi="Aptos"/>
          <w:b/>
          <w:bCs/>
          <w:color w:val="2D2D2D"/>
        </w:rPr>
        <w:t xml:space="preserve">SO-06 — Protect test integrity: </w:t>
      </w:r>
      <w:r>
        <w:rPr>
          <w:rFonts w:ascii="Aptos" w:cs="Aptos" w:eastAsia="Aptos" w:hAnsi="Aptos"/>
          <w:color w:val="2D2D2D"/>
        </w:rPr>
        <w:t xml:space="preserve">Keep answer keys server-side and enforce timing, submission and scoring on the server.</w:t>
      </w:r>
    </w:p>
    <w:p>
      <w:pPr>
        <w:pStyle w:val="ListParagraph"/>
        <w:numPr>
          <w:ilvl w:val="0"/>
          <w:numId w:val="2"/>
        </w:numPr>
        <w:spacing w:after="100" w:line="259"/>
      </w:pPr>
      <w:r>
        <w:rPr>
          <w:rFonts w:ascii="Aptos" w:cs="Aptos" w:eastAsia="Aptos" w:hAnsi="Aptos"/>
          <w:b/>
          <w:bCs/>
          <w:color w:val="2D2D2D"/>
        </w:rPr>
        <w:t xml:space="preserve">SO-07 — Secure file uploads and code execution: </w:t>
      </w:r>
      <w:r>
        <w:rPr>
          <w:rFonts w:ascii="Aptos" w:cs="Aptos" w:eastAsia="Aptos" w:hAnsi="Aptos"/>
          <w:color w:val="2D2D2D"/>
        </w:rPr>
        <w:t xml:space="preserve">Accept only validated resume files and isolate any code evaluation from the host system.</w:t>
      </w:r>
    </w:p>
    <w:p>
      <w:pPr>
        <w:pStyle w:val="ListParagraph"/>
        <w:numPr>
          <w:ilvl w:val="0"/>
          <w:numId w:val="2"/>
        </w:numPr>
        <w:spacing w:after="100" w:line="259"/>
      </w:pPr>
      <w:r>
        <w:rPr>
          <w:rFonts w:ascii="Aptos" w:cs="Aptos" w:eastAsia="Aptos" w:hAnsi="Aptos"/>
          <w:b/>
          <w:bCs/>
          <w:color w:val="2D2D2D"/>
        </w:rPr>
        <w:t xml:space="preserve">SO-08 — Protect stored data and backups: </w:t>
      </w:r>
      <w:r>
        <w:rPr>
          <w:rFonts w:ascii="Aptos" w:cs="Aptos" w:eastAsia="Aptos" w:hAnsi="Aptos"/>
          <w:color w:val="2D2D2D"/>
        </w:rPr>
        <w:t xml:space="preserve">Restrict database and backup access and encrypt backups where supported.</w:t>
      </w:r>
    </w:p>
    <w:p>
      <w:pPr>
        <w:pStyle w:val="ListParagraph"/>
        <w:numPr>
          <w:ilvl w:val="0"/>
          <w:numId w:val="2"/>
        </w:numPr>
        <w:spacing w:after="100" w:line="259"/>
      </w:pPr>
      <w:r>
        <w:rPr>
          <w:rFonts w:ascii="Aptos" w:cs="Aptos" w:eastAsia="Aptos" w:hAnsi="Aptos"/>
          <w:b/>
          <w:bCs/>
          <w:color w:val="2D2D2D"/>
        </w:rPr>
        <w:t xml:space="preserve">SO-09 — Preserve integrity and availability: </w:t>
      </w:r>
      <w:r>
        <w:rPr>
          <w:rFonts w:ascii="Aptos" w:cs="Aptos" w:eastAsia="Aptos" w:hAnsi="Aptos"/>
          <w:color w:val="2D2D2D"/>
        </w:rPr>
        <w:t xml:space="preserve">Validate data-changing operations, log security events, and document backup and recovery.</w:t>
      </w:r>
    </w:p>
    <w:p>
      <w:pPr>
        <w:pStyle w:val="Heading1"/>
      </w:pPr>
      <w:r>
        <w:t xml:space="preserve">6. Security Requirements</w:t>
      </w:r>
    </w:p>
    <w:p>
      <w:pPr>
        <w:spacing w:after="100" w:line="259"/>
      </w:pPr>
      <w:r>
        <w:rPr>
          <w:rFonts w:ascii="Aptos" w:cs="Aptos" w:eastAsia="Aptos" w:hAnsi="Aptos"/>
          <w:color w:val="2D2D2D"/>
        </w:rPr>
        <w:t xml:space="preserve">The requirements below are intended to be clear and testable. Numeric limits are proposed acceptance criteria and may be adjusted to match the final implementation and course rubric.</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4224"/>
        <w:gridCol w:w="3300"/>
      </w:tblGrid>
      <w:tr>
        <w:trPr>
          <w:cantSplit/>
          <w:tblHeader/>
        </w:trPr>
        <w:tc>
          <w:tcPr>
            <w:tcW w:type="dxa" w:w="1000"/>
            <w:tcBorders>
              <w:top w:val="single" w:color="000000" w:sz="4"/>
              <w:left w:val="single" w:color="000000" w:sz="4"/>
              <w:bottom w:val="single" w:color="000000" w:sz="4"/>
              <w:right w:val="single" w:color="000000" w:sz="4"/>
            </w:tcBorders>
            <w:shd w:fill="BE520F" w:color="auto" w:val="clear"/>
            <w:tcMar>
              <w:top w:type="dxa" w:w="90"/>
              <w:left w:type="dxa" w:w="100"/>
              <w:bottom w:type="dxa" w:w="90"/>
              <w:right w:type="dxa" w:w="100"/>
            </w:tcMar>
            <w:vAlign w:val="center"/>
          </w:tcPr>
          <w:p>
            <w:pPr>
              <w:spacing w:after="0" w:line="259"/>
            </w:pPr>
            <w:r>
              <w:rPr>
                <w:rFonts w:ascii="Aptos" w:cs="Aptos" w:eastAsia="Aptos" w:hAnsi="Aptos"/>
                <w:b/>
                <w:bCs/>
                <w:color w:val="FFFFFF"/>
                <w:sz w:val="17"/>
                <w:szCs w:val="17"/>
              </w:rPr>
              <w:t xml:space="preserve">ID</w:t>
            </w:r>
          </w:p>
        </w:tc>
        <w:tc>
          <w:tcPr>
            <w:tcW w:type="dxa" w:w="1700"/>
            <w:tcBorders>
              <w:top w:val="single" w:color="000000" w:sz="4"/>
              <w:left w:val="single" w:color="000000" w:sz="4"/>
              <w:bottom w:val="single" w:color="000000" w:sz="4"/>
              <w:right w:val="single" w:color="000000" w:sz="4"/>
            </w:tcBorders>
            <w:shd w:fill="BE520F" w:color="auto" w:val="clear"/>
            <w:tcMar>
              <w:top w:type="dxa" w:w="90"/>
              <w:left w:type="dxa" w:w="100"/>
              <w:bottom w:type="dxa" w:w="90"/>
              <w:right w:type="dxa" w:w="100"/>
            </w:tcMar>
            <w:vAlign w:val="center"/>
          </w:tcPr>
          <w:p>
            <w:pPr>
              <w:spacing w:after="0" w:line="259"/>
            </w:pPr>
            <w:r>
              <w:rPr>
                <w:rFonts w:ascii="Aptos" w:cs="Aptos" w:eastAsia="Aptos" w:hAnsi="Aptos"/>
                <w:b/>
                <w:bCs/>
                <w:color w:val="FFFFFF"/>
                <w:sz w:val="17"/>
                <w:szCs w:val="17"/>
              </w:rPr>
              <w:t xml:space="preserve">Area</w:t>
            </w:r>
          </w:p>
        </w:tc>
        <w:tc>
          <w:tcPr>
            <w:tcW w:type="dxa" w:w="4224"/>
            <w:tcBorders>
              <w:top w:val="single" w:color="000000" w:sz="4"/>
              <w:left w:val="single" w:color="000000" w:sz="4"/>
              <w:bottom w:val="single" w:color="000000" w:sz="4"/>
              <w:right w:val="single" w:color="000000" w:sz="4"/>
            </w:tcBorders>
            <w:shd w:fill="BE520F" w:color="auto" w:val="clear"/>
            <w:tcMar>
              <w:top w:type="dxa" w:w="90"/>
              <w:left w:type="dxa" w:w="100"/>
              <w:bottom w:type="dxa" w:w="90"/>
              <w:right w:type="dxa" w:w="100"/>
            </w:tcMar>
            <w:vAlign w:val="center"/>
          </w:tcPr>
          <w:p>
            <w:pPr>
              <w:spacing w:after="0" w:line="259"/>
            </w:pPr>
            <w:r>
              <w:rPr>
                <w:rFonts w:ascii="Aptos" w:cs="Aptos" w:eastAsia="Aptos" w:hAnsi="Aptos"/>
                <w:b/>
                <w:bCs/>
                <w:color w:val="FFFFFF"/>
                <w:sz w:val="17"/>
                <w:szCs w:val="17"/>
              </w:rPr>
              <w:t xml:space="preserve">Requirement</w:t>
            </w:r>
          </w:p>
        </w:tc>
        <w:tc>
          <w:tcPr>
            <w:tcW w:type="dxa" w:w="3300"/>
            <w:tcBorders>
              <w:top w:val="single" w:color="000000" w:sz="4"/>
              <w:left w:val="single" w:color="000000" w:sz="4"/>
              <w:bottom w:val="single" w:color="000000" w:sz="4"/>
              <w:right w:val="single" w:color="000000" w:sz="4"/>
            </w:tcBorders>
            <w:shd w:fill="BE520F" w:color="auto" w:val="clear"/>
            <w:tcMar>
              <w:top w:type="dxa" w:w="90"/>
              <w:left w:type="dxa" w:w="100"/>
              <w:bottom w:type="dxa" w:w="90"/>
              <w:right w:type="dxa" w:w="100"/>
            </w:tcMar>
            <w:vAlign w:val="center"/>
          </w:tcPr>
          <w:p>
            <w:pPr>
              <w:spacing w:after="0" w:line="259"/>
            </w:pPr>
            <w:r>
              <w:rPr>
                <w:rFonts w:ascii="Aptos" w:cs="Aptos" w:eastAsia="Aptos" w:hAnsi="Aptos"/>
                <w:b/>
                <w:bCs/>
                <w:color w:val="FFFFFF"/>
                <w:sz w:val="17"/>
                <w:szCs w:val="17"/>
              </w:rPr>
              <w:t xml:space="preserve">Verification / acceptance test</w:t>
            </w:r>
          </w:p>
        </w:tc>
      </w:tr>
      <w:tr>
        <w:trPr>
          <w:cantSplit/>
        </w:trPr>
        <w:tc>
          <w:tcPr>
            <w:tcW w:type="dxa" w:w="10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SEC-01</w:t>
            </w:r>
          </w:p>
        </w:tc>
        <w:tc>
          <w:tcPr>
            <w:tcW w:type="dxa" w:w="17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Authentication</w:t>
            </w:r>
          </w:p>
        </w:tc>
        <w:tc>
          <w:tcPr>
            <w:tcW w:type="dxa" w:w="42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Users (students and admins) shall authenticate before accessing any profile, application, practice, mock test, analytics or admin function, and shall be re-authenticated after logout or session expiry. (FR-001)</w:t>
            </w:r>
          </w:p>
        </w:tc>
        <w:tc>
          <w:tcPr>
            <w:tcW w:type="dxa" w:w="33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Access protected URLs while logged out; the user must be redirected to Login and no content shown.</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SEC-02</w:t>
            </w:r>
          </w:p>
        </w:tc>
        <w:tc>
          <w:tcPr>
            <w:tcW w:type="dxa" w:w="17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Password policy and storage</w:t>
            </w:r>
          </w:p>
        </w:tc>
        <w:tc>
          <w:tcPr>
            <w:tcW w:type="dxa" w:w="42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Passwords shall meet a minimum strength rule (proposed: at least 8 characters with a mix of letters, digits and symbols) and shall be stored only as salted hashes using a suitable password-hashing algorithm (e.g. bcrypt or Argon2). (NFR002)</w:t>
            </w:r>
          </w:p>
        </w:tc>
        <w:tc>
          <w:tcPr>
            <w:tcW w:type="dxa" w:w="33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Register a weak password and verify rejection; inspect stored user records and confirm no plaintext password.</w:t>
            </w:r>
          </w:p>
        </w:tc>
      </w:tr>
      <w:tr>
        <w:trPr>
          <w:cantSplit/>
        </w:trPr>
        <w:tc>
          <w:tcPr>
            <w:tcW w:type="dxa" w:w="10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SEC-03</w:t>
            </w:r>
          </w:p>
        </w:tc>
        <w:tc>
          <w:tcPr>
            <w:tcW w:type="dxa" w:w="17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Login throttling</w:t>
            </w:r>
          </w:p>
        </w:tc>
        <w:tc>
          <w:tcPr>
            <w:tcW w:type="dxa" w:w="42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The system shall throttle or temporarily block repeated failed logins; proposed threshold: 5 failed attempts within 15 minutes.</w:t>
            </w:r>
          </w:p>
        </w:tc>
        <w:tc>
          <w:tcPr>
            <w:tcW w:type="dxa" w:w="33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Submit repeated incorrect passwords and verify throttling and recovery.</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SEC-04</w:t>
            </w:r>
          </w:p>
        </w:tc>
        <w:tc>
          <w:tcPr>
            <w:tcW w:type="dxa" w:w="17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Generic login errors</w:t>
            </w:r>
          </w:p>
        </w:tc>
        <w:tc>
          <w:tcPr>
            <w:tcW w:type="dxa" w:w="42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Failed logins shall show a generic message ("Invalid username or password") that does not reveal whether the account exists.</w:t>
            </w:r>
          </w:p>
        </w:tc>
        <w:tc>
          <w:tcPr>
            <w:tcW w:type="dxa" w:w="33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Log in with a wrong password and with an unknown email; messages must be identical.</w:t>
            </w:r>
          </w:p>
        </w:tc>
      </w:tr>
      <w:tr>
        <w:trPr>
          <w:cantSplit/>
        </w:trPr>
        <w:tc>
          <w:tcPr>
            <w:tcW w:type="dxa" w:w="10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SEC-05</w:t>
            </w:r>
          </w:p>
        </w:tc>
        <w:tc>
          <w:tcPr>
            <w:tcW w:type="dxa" w:w="17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Session security</w:t>
            </w:r>
          </w:p>
        </w:tc>
        <w:tc>
          <w:tcPr>
            <w:tcW w:type="dxa" w:w="42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Session tokens shall be unpredictable, sent with Secure and HttpOnly attributes, expire after inactivity (proposed: 30 minutes), and be invalidated on logout. Sessions shall persist correctly across modules during normal use.</w:t>
            </w:r>
          </w:p>
        </w:tc>
        <w:tc>
          <w:tcPr>
            <w:tcW w:type="dxa" w:w="33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Log out and reuse the old token; access must be denied. Inspect cookie flags. Navigate Practice, Internships and Analytics without re-login.</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SEC-06</w:t>
            </w:r>
          </w:p>
        </w:tc>
        <w:tc>
          <w:tcPr>
            <w:tcW w:type="dxa" w:w="17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Student data authorization</w:t>
            </w:r>
          </w:p>
        </w:tc>
        <w:tc>
          <w:tcPr>
            <w:tcW w:type="dxa" w:w="42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Every read, update or delete of applications, test attempts, practice history and analytics shall verify on the server that the record belongs to the logged-in student.</w:t>
            </w:r>
          </w:p>
        </w:tc>
        <w:tc>
          <w:tcPr>
            <w:tcW w:type="dxa" w:w="33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Change record IDs in requests to another student's; access must be denied.</w:t>
            </w:r>
          </w:p>
        </w:tc>
      </w:tr>
      <w:tr>
        <w:trPr>
          <w:cantSplit/>
        </w:trPr>
        <w:tc>
          <w:tcPr>
            <w:tcW w:type="dxa" w:w="10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SEC-07</w:t>
            </w:r>
          </w:p>
        </w:tc>
        <w:tc>
          <w:tcPr>
            <w:tcW w:type="dxa" w:w="17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Admin role authorization</w:t>
            </w:r>
          </w:p>
        </w:tc>
        <w:tc>
          <w:tcPr>
            <w:tcW w:type="dxa" w:w="42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Manage Internship Listings, Manage Question Bank and View Student Applications shall be available only to accounts with an explicit Admin role, enforced server-side.</w:t>
            </w:r>
          </w:p>
        </w:tc>
        <w:tc>
          <w:tcPr>
            <w:tcW w:type="dxa" w:w="33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Call admin endpoints as a student and as a guest; access must be denied.</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SEC-08</w:t>
            </w:r>
          </w:p>
        </w:tc>
        <w:tc>
          <w:tcPr>
            <w:tcW w:type="dxa" w:w="17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Input validation</w:t>
            </w:r>
          </w:p>
        </w:tc>
        <w:tc>
          <w:tcPr>
            <w:tcW w:type="dxa" w:w="42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The server shall validate and normalize all untrusted input (registration, filters, listing and question forms, cover notes, answers) for type, length and range before processing.</w:t>
            </w:r>
          </w:p>
        </w:tc>
        <w:tc>
          <w:tcPr>
            <w:tcW w:type="dxa" w:w="33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Submit malformed, oversized and out-of-range values; they must be rejected or handled safely.</w:t>
            </w:r>
          </w:p>
        </w:tc>
      </w:tr>
      <w:tr>
        <w:trPr>
          <w:cantSplit/>
        </w:trPr>
        <w:tc>
          <w:tcPr>
            <w:tcW w:type="dxa" w:w="10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SEC-09</w:t>
            </w:r>
          </w:p>
        </w:tc>
        <w:tc>
          <w:tcPr>
            <w:tcW w:type="dxa" w:w="17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Injection prevention</w:t>
            </w:r>
          </w:p>
        </w:tc>
        <w:tc>
          <w:tcPr>
            <w:tcW w:type="dxa" w:w="42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The system shall use parameterized queries or safe database APIs and shall not concatenate untrusted input into queries.</w:t>
            </w:r>
          </w:p>
        </w:tc>
        <w:tc>
          <w:tcPr>
            <w:tcW w:type="dxa" w:w="33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Submit injection-style strings in login, search, filters and forms; query behavior must not change.</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SEC-10</w:t>
            </w:r>
          </w:p>
        </w:tc>
        <w:tc>
          <w:tcPr>
            <w:tcW w:type="dxa" w:w="17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Output encoding (XSS)</w:t>
            </w:r>
          </w:p>
        </w:tc>
        <w:tc>
          <w:tcPr>
            <w:tcW w:type="dxa" w:w="42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User- and admin-supplied text (listing descriptions, cover notes, question content, names) shall be encoded or sanitized when displayed.</w:t>
            </w:r>
          </w:p>
        </w:tc>
        <w:tc>
          <w:tcPr>
            <w:tcW w:type="dxa" w:w="33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Enter script tags in listing and cover-note fields; they must render as inert text.</w:t>
            </w:r>
          </w:p>
        </w:tc>
      </w:tr>
      <w:tr>
        <w:trPr>
          <w:cantSplit/>
        </w:trPr>
        <w:tc>
          <w:tcPr>
            <w:tcW w:type="dxa" w:w="10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SEC-11</w:t>
            </w:r>
          </w:p>
        </w:tc>
        <w:tc>
          <w:tcPr>
            <w:tcW w:type="dxa" w:w="17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Transport security</w:t>
            </w:r>
          </w:p>
        </w:tc>
        <w:tc>
          <w:tcPr>
            <w:tcW w:type="dxa" w:w="42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The deployed system shall use HTTPS with TLS 1.2 or higher for all browser-to-server traffic and shall redirect HTTP to HTTPS. (NFR002)</w:t>
            </w:r>
          </w:p>
        </w:tc>
        <w:tc>
          <w:tcPr>
            <w:tcW w:type="dxa" w:w="33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Verify HTTPS, TLS version and redirect in the deployment environment.</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SEC-12</w:t>
            </w:r>
          </w:p>
        </w:tc>
        <w:tc>
          <w:tcPr>
            <w:tcW w:type="dxa" w:w="17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Test integrity: answer keys</w:t>
            </w:r>
          </w:p>
        </w:tc>
        <w:tc>
          <w:tcPr>
            <w:tcW w:type="dxa" w:w="42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Correct answers and explanations shall not be sent to the client before a question or test is submitted; scoring shall be computed on the server.</w:t>
            </w:r>
          </w:p>
        </w:tc>
        <w:tc>
          <w:tcPr>
            <w:tcW w:type="dxa" w:w="33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Inspect network responses during a test; no answer keys must be present before submission.</w:t>
            </w:r>
          </w:p>
        </w:tc>
      </w:tr>
      <w:tr>
        <w:trPr>
          <w:cantSplit/>
        </w:trPr>
        <w:tc>
          <w:tcPr>
            <w:tcW w:type="dxa" w:w="10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SEC-13</w:t>
            </w:r>
          </w:p>
        </w:tc>
        <w:tc>
          <w:tcPr>
            <w:tcW w:type="dxa" w:w="17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Test integrity: server-side timer</w:t>
            </w:r>
          </w:p>
        </w:tc>
        <w:tc>
          <w:tcPr>
            <w:tcW w:type="dxa" w:w="42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The mock test time limit and auto-submit shall be enforced on the server using server time; a page refresh or client clock change shall not reset or extend the timer. (FR-004)</w:t>
            </w:r>
          </w:p>
        </w:tc>
        <w:tc>
          <w:tcPr>
            <w:tcW w:type="dxa" w:w="33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Refresh mid-test and alter the system clock; remaining time must stay consistent. Let the timer expire and confirm auto-submit.</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SEC-14</w:t>
            </w:r>
          </w:p>
        </w:tc>
        <w:tc>
          <w:tcPr>
            <w:tcW w:type="dxa" w:w="17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Test integrity: single submission</w:t>
            </w:r>
          </w:p>
        </w:tc>
        <w:tc>
          <w:tcPr>
            <w:tcW w:type="dxa" w:w="42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Each attempt shall be accepted only once; a manual submit and an auto-submit racing at timeout shall result in one recorded attempt, and no answers shall be accepted after submission.</w:t>
            </w:r>
          </w:p>
        </w:tc>
        <w:tc>
          <w:tcPr>
            <w:tcW w:type="dxa" w:w="33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Submit twice and submit at timeout; only one attempt record must exist and later input must be rejected.</w:t>
            </w:r>
          </w:p>
        </w:tc>
      </w:tr>
      <w:tr>
        <w:trPr>
          <w:cantSplit/>
        </w:trPr>
        <w:tc>
          <w:tcPr>
            <w:tcW w:type="dxa" w:w="10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SEC-15</w:t>
            </w:r>
          </w:p>
        </w:tc>
        <w:tc>
          <w:tcPr>
            <w:tcW w:type="dxa" w:w="17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Application integrity</w:t>
            </w:r>
          </w:p>
        </w:tc>
        <w:tc>
          <w:tcPr>
            <w:tcW w:type="dxa" w:w="42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Duplicate applications and applications past the listing deadline shall be rejected on the server, not only hidden in the UI. (FR-002)</w:t>
            </w:r>
          </w:p>
        </w:tc>
        <w:tc>
          <w:tcPr>
            <w:tcW w:type="dxa" w:w="33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Send an apply request twice and after the deadline through direct requests; both must be rejected.</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SEC-16</w:t>
            </w:r>
          </w:p>
        </w:tc>
        <w:tc>
          <w:tcPr>
            <w:tcW w:type="dxa" w:w="17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Secure file upload</w:t>
            </w:r>
          </w:p>
        </w:tc>
        <w:tc>
          <w:tcPr>
            <w:tcW w:type="dxa" w:w="42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Resume uploads shall be restricted to allowed types (proposed: PDF/DOCX) and a maximum size (proposed: 5 MB), renamed on storage, scanned or validated by content type, and stored outside the web root.</w:t>
            </w:r>
          </w:p>
        </w:tc>
        <w:tc>
          <w:tcPr>
            <w:tcW w:type="dxa" w:w="33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Upload an executable, an oversized file and a mislabelled file; all must be rejected.</w:t>
            </w:r>
          </w:p>
        </w:tc>
      </w:tr>
      <w:tr>
        <w:trPr>
          <w:cantSplit/>
        </w:trPr>
        <w:tc>
          <w:tcPr>
            <w:tcW w:type="dxa" w:w="10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SEC-17</w:t>
            </w:r>
          </w:p>
        </w:tc>
        <w:tc>
          <w:tcPr>
            <w:tcW w:type="dxa" w:w="17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Safe code evaluation</w:t>
            </w:r>
          </w:p>
        </w:tc>
        <w:tc>
          <w:tcPr>
            <w:tcW w:type="dxa" w:w="42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Coding-question submissions shall run in an isolated sandbox with CPU, memory, time and network limits and no access to the host file system or application secrets.</w:t>
            </w:r>
          </w:p>
        </w:tc>
        <w:tc>
          <w:tcPr>
            <w:tcW w:type="dxa" w:w="33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Submit an infinite loop, file-read and network-call program; each must be contained and terminated.</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SEC-18</w:t>
            </w:r>
          </w:p>
        </w:tc>
        <w:tc>
          <w:tcPr>
            <w:tcW w:type="dxa" w:w="17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Application data privacy</w:t>
            </w:r>
          </w:p>
        </w:tc>
        <w:tc>
          <w:tcPr>
            <w:tcW w:type="dxa" w:w="42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Student resumes, cover notes and profile data shall be visible only to the owning student and authorized admins, and shall not appear in URLs, logs or error messages.</w:t>
            </w:r>
          </w:p>
        </w:tc>
        <w:tc>
          <w:tcPr>
            <w:tcW w:type="dxa" w:w="33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Review URLs, logs and error pages for personal data; access another student's resume by URL must be denied.</w:t>
            </w:r>
          </w:p>
        </w:tc>
      </w:tr>
      <w:tr>
        <w:trPr>
          <w:cantSplit/>
        </w:trPr>
        <w:tc>
          <w:tcPr>
            <w:tcW w:type="dxa" w:w="10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SEC-19</w:t>
            </w:r>
          </w:p>
        </w:tc>
        <w:tc>
          <w:tcPr>
            <w:tcW w:type="dxa" w:w="17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Error handling</w:t>
            </w:r>
          </w:p>
        </w:tc>
        <w:tc>
          <w:tcPr>
            <w:tcW w:type="dxa" w:w="42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User-facing errors shall not expose passwords, tokens, stack traces, database details or internal paths.</w:t>
            </w:r>
          </w:p>
        </w:tc>
        <w:tc>
          <w:tcPr>
            <w:tcW w:type="dxa" w:w="33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Trigger errors on each module and verify only generic messages are shown.</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SEC-20</w:t>
            </w:r>
          </w:p>
        </w:tc>
        <w:tc>
          <w:tcPr>
            <w:tcW w:type="dxa" w:w="17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Security logging and audit</w:t>
            </w:r>
          </w:p>
        </w:tc>
        <w:tc>
          <w:tcPr>
            <w:tcW w:type="dxa" w:w="42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The system shall log security-relevant events (failed logins, throttling, admin listing/question changes, application status updates, auto-submits) with timestamps and user IDs, without logging passwords or tokens.</w:t>
            </w:r>
          </w:p>
        </w:tc>
        <w:tc>
          <w:tcPr>
            <w:tcW w:type="dxa" w:w="33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Generate test events and verify they are logged with secrets redacted.</w:t>
            </w:r>
          </w:p>
        </w:tc>
      </w:tr>
      <w:tr>
        <w:trPr>
          <w:cantSplit/>
        </w:trPr>
        <w:tc>
          <w:tcPr>
            <w:tcW w:type="dxa" w:w="10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SEC-21</w:t>
            </w:r>
          </w:p>
        </w:tc>
        <w:tc>
          <w:tcPr>
            <w:tcW w:type="dxa" w:w="17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Rate limiting and availability</w:t>
            </w:r>
          </w:p>
        </w:tc>
        <w:tc>
          <w:tcPr>
            <w:tcW w:type="dxa" w:w="42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Core endpoints (login, apply, submit test, search) shall apply rate limits to reduce abuse while keeping normal responses within 2 seconds for 95% of requests. (NFR001)</w:t>
            </w:r>
          </w:p>
        </w:tc>
        <w:tc>
          <w:tcPr>
            <w:tcW w:type="dxa" w:w="33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Send bursts of requests and verify limiting; run load test against the 2-second target.</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SEC-22</w:t>
            </w:r>
          </w:p>
        </w:tc>
        <w:tc>
          <w:tcPr>
            <w:tcW w:type="dxa" w:w="17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Backup protection</w:t>
            </w:r>
          </w:p>
        </w:tc>
        <w:tc>
          <w:tcPr>
            <w:tcW w:type="dxa" w:w="42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Database and backup access shall be restricted to authorized operators, and backups shall be encrypted where the storage environment supports it.</w:t>
            </w:r>
          </w:p>
        </w:tc>
        <w:tc>
          <w:tcPr>
            <w:tcW w:type="dxa" w:w="33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Review permissions and verify encryption configuration where applicable.</w:t>
            </w:r>
          </w:p>
        </w:tc>
      </w:tr>
      <w:tr>
        <w:trPr>
          <w:cantSplit/>
        </w:trPr>
        <w:tc>
          <w:tcPr>
            <w:tcW w:type="dxa" w:w="10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SEC-23</w:t>
            </w:r>
          </w:p>
        </w:tc>
        <w:tc>
          <w:tcPr>
            <w:tcW w:type="dxa" w:w="17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Recovery</w:t>
            </w:r>
          </w:p>
        </w:tc>
        <w:tc>
          <w:tcPr>
            <w:tcW w:type="dxa" w:w="42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The project shall document a backup and restoration procedure covering the database, question bank and uploaded resumes.</w:t>
            </w:r>
          </w:p>
        </w:tc>
        <w:tc>
          <w:tcPr>
            <w:tcW w:type="dxa" w:w="33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Restore a test backup in a non-production environment and verify sample records.</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SEC-24</w:t>
            </w:r>
          </w:p>
        </w:tc>
        <w:tc>
          <w:tcPr>
            <w:tcW w:type="dxa" w:w="17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Configuration hygiene</w:t>
            </w:r>
          </w:p>
        </w:tc>
        <w:tc>
          <w:tcPr>
            <w:tcW w:type="dxa" w:w="42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Secrets (database credentials, session keys) shall be kept out of source control; configuration examples shall list variable names without secret values.</w:t>
            </w:r>
          </w:p>
        </w:tc>
        <w:tc>
          <w:tcPr>
            <w:tcW w:type="dxa" w:w="33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Review repository and history for committed credentials or tokens.</w:t>
            </w:r>
          </w:p>
        </w:tc>
      </w:tr>
    </w:tbl>
    <w:p>
      <w:pPr>
        <w:pStyle w:val="Heading1"/>
      </w:pPr>
      <w:r>
        <w:t xml:space="preserve">7. Risk Mitigation Plan</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6824"/>
      </w:tblGrid>
      <w:tr>
        <w:trPr>
          <w:cantSplit/>
          <w:tblHeader/>
        </w:trPr>
        <w:tc>
          <w:tcPr>
            <w:tcW w:type="dxa" w:w="3400"/>
            <w:tcBorders>
              <w:top w:val="single" w:color="000000" w:sz="4"/>
              <w:left w:val="single" w:color="000000" w:sz="4"/>
              <w:bottom w:val="single" w:color="000000" w:sz="4"/>
              <w:right w:val="single" w:color="000000" w:sz="4"/>
            </w:tcBorders>
            <w:shd w:fill="BE520F" w:color="auto" w:val="clear"/>
            <w:tcMar>
              <w:top w:type="dxa" w:w="90"/>
              <w:left w:type="dxa" w:w="100"/>
              <w:bottom w:type="dxa" w:w="90"/>
              <w:right w:type="dxa" w:w="100"/>
            </w:tcMar>
            <w:vAlign w:val="center"/>
          </w:tcPr>
          <w:p>
            <w:pPr>
              <w:spacing w:after="0" w:line="259"/>
            </w:pPr>
            <w:r>
              <w:rPr>
                <w:rFonts w:ascii="Aptos" w:cs="Aptos" w:eastAsia="Aptos" w:hAnsi="Aptos"/>
                <w:b/>
                <w:bCs/>
                <w:color w:val="FFFFFF"/>
                <w:sz w:val="17"/>
                <w:szCs w:val="17"/>
              </w:rPr>
              <w:t xml:space="preserve">Risk</w:t>
            </w:r>
          </w:p>
        </w:tc>
        <w:tc>
          <w:tcPr>
            <w:tcW w:type="dxa" w:w="6824"/>
            <w:tcBorders>
              <w:top w:val="single" w:color="000000" w:sz="4"/>
              <w:left w:val="single" w:color="000000" w:sz="4"/>
              <w:bottom w:val="single" w:color="000000" w:sz="4"/>
              <w:right w:val="single" w:color="000000" w:sz="4"/>
            </w:tcBorders>
            <w:shd w:fill="BE520F" w:color="auto" w:val="clear"/>
            <w:tcMar>
              <w:top w:type="dxa" w:w="90"/>
              <w:left w:type="dxa" w:w="100"/>
              <w:bottom w:type="dxa" w:w="90"/>
              <w:right w:type="dxa" w:w="100"/>
            </w:tcMar>
            <w:vAlign w:val="center"/>
          </w:tcPr>
          <w:p>
            <w:pPr>
              <w:spacing w:after="0" w:line="259"/>
            </w:pPr>
            <w:r>
              <w:rPr>
                <w:rFonts w:ascii="Aptos" w:cs="Aptos" w:eastAsia="Aptos" w:hAnsi="Aptos"/>
                <w:b/>
                <w:bCs/>
                <w:color w:val="FFFFFF"/>
                <w:sz w:val="17"/>
                <w:szCs w:val="17"/>
              </w:rPr>
              <w:t xml:space="preserve">Mitigation</w:t>
            </w:r>
          </w:p>
        </w:tc>
      </w:tr>
      <w:tr>
        <w:trPr>
          <w:cantSplit/>
        </w:trPr>
        <w:tc>
          <w:tcPr>
            <w:tcW w:type="dxa" w:w="34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Account takeover</w:t>
            </w:r>
          </w:p>
        </w:tc>
        <w:tc>
          <w:tcPr>
            <w:tcW w:type="dxa" w:w="68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Secure password hashing, strength rules, login throttling, safe session handling and generic login errors.</w:t>
            </w:r>
          </w:p>
        </w:tc>
      </w:tr>
      <w:tr>
        <w:trPr>
          <w:cantSplit/>
        </w:trPr>
        <w:tc>
          <w:tcPr>
            <w:tcW w:type="dxa" w:w="34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Unauthorized access to student data</w:t>
            </w:r>
          </w:p>
        </w:tc>
        <w:tc>
          <w:tcPr>
            <w:tcW w:type="dxa" w:w="68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Apply server-side ownership checks to every personal-data operation; do not rely on hidden UI controls.</w:t>
            </w:r>
          </w:p>
        </w:tc>
      </w:tr>
      <w:tr>
        <w:trPr>
          <w:cantSplit/>
        </w:trPr>
        <w:tc>
          <w:tcPr>
            <w:tcW w:type="dxa" w:w="34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Privilege escalation / admin misuse</w:t>
            </w:r>
          </w:p>
        </w:tc>
        <w:tc>
          <w:tcPr>
            <w:tcW w:type="dxa" w:w="68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Use explicit server-side role checks, minimal privileges, and log all admin actions.</w:t>
            </w:r>
          </w:p>
        </w:tc>
      </w:tr>
      <w:tr>
        <w:trPr>
          <w:cantSplit/>
        </w:trPr>
        <w:tc>
          <w:tcPr>
            <w:tcW w:type="dxa" w:w="34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Injection and XSS</w:t>
            </w:r>
          </w:p>
        </w:tc>
        <w:tc>
          <w:tcPr>
            <w:tcW w:type="dxa" w:w="68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Use parameterized queries, server-side validation, output encoding and negative tests.</w:t>
            </w:r>
          </w:p>
        </w:tc>
      </w:tr>
      <w:tr>
        <w:trPr>
          <w:cantSplit/>
        </w:trPr>
        <w:tc>
          <w:tcPr>
            <w:tcW w:type="dxa" w:w="34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Test cheating and timer tampering</w:t>
            </w:r>
          </w:p>
        </w:tc>
        <w:tc>
          <w:tcPr>
            <w:tcW w:type="dxa" w:w="68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Keep answer keys and timers on the server, accept one submission per attempt, and test refresh and race conditions.</w:t>
            </w:r>
          </w:p>
        </w:tc>
      </w:tr>
      <w:tr>
        <w:trPr>
          <w:cantSplit/>
        </w:trPr>
        <w:tc>
          <w:tcPr>
            <w:tcW w:type="dxa" w:w="34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Malicious uploads and code</w:t>
            </w:r>
          </w:p>
        </w:tc>
        <w:tc>
          <w:tcPr>
            <w:tcW w:type="dxa" w:w="68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Validate file type and size, store files outside the web root, and run coding questions in a resource-limited sandbox.</w:t>
            </w:r>
          </w:p>
        </w:tc>
      </w:tr>
      <w:tr>
        <w:trPr>
          <w:cantSplit/>
        </w:trPr>
        <w:tc>
          <w:tcPr>
            <w:tcW w:type="dxa" w:w="34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Invalid applications</w:t>
            </w:r>
          </w:p>
        </w:tc>
        <w:tc>
          <w:tcPr>
            <w:tcW w:type="dxa" w:w="68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Enforce deadline and duplicate checks on the server for every apply request.</w:t>
            </w:r>
          </w:p>
        </w:tc>
      </w:tr>
      <w:tr>
        <w:trPr>
          <w:cantSplit/>
        </w:trPr>
        <w:tc>
          <w:tcPr>
            <w:tcW w:type="dxa" w:w="34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Database / backup exposure</w:t>
            </w:r>
          </w:p>
        </w:tc>
        <w:tc>
          <w:tcPr>
            <w:tcW w:type="dxa" w:w="68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Use least-privilege credentials, keep secrets in environment configuration, and encrypt backups where supported.</w:t>
            </w:r>
          </w:p>
        </w:tc>
      </w:tr>
      <w:tr>
        <w:trPr>
          <w:cantSplit/>
        </w:trPr>
        <w:tc>
          <w:tcPr>
            <w:tcW w:type="dxa" w:w="34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Data loss / outage</w:t>
            </w:r>
          </w:p>
        </w:tc>
        <w:tc>
          <w:tcPr>
            <w:tcW w:type="dxa" w:w="68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Document backup and restoration steps, apply rate limits, and test recovery in a safe environment.</w:t>
            </w:r>
          </w:p>
        </w:tc>
      </w:tr>
    </w:tbl>
    <w:p>
      <w:pPr>
        <w:pStyle w:val="Heading1"/>
      </w:pPr>
      <w:r>
        <w:t xml:space="preserve">8. Threat Modelling Notes</w:t>
      </w:r>
    </w:p>
    <w:p>
      <w:pPr>
        <w:spacing w:after="100" w:line="259"/>
      </w:pPr>
      <w:r>
        <w:rPr>
          <w:rFonts w:ascii="Aptos" w:cs="Aptos" w:eastAsia="Aptos" w:hAnsi="Aptos"/>
          <w:color w:val="2D2D2D"/>
        </w:rPr>
        <w:t xml:space="preserve">A simple threat-modelling view for this application should include:</w:t>
      </w:r>
    </w:p>
    <w:p>
      <w:pPr>
        <w:pStyle w:val="ListParagraph"/>
        <w:numPr>
          <w:ilvl w:val="0"/>
          <w:numId w:val="2"/>
        </w:numPr>
        <w:spacing w:after="100" w:line="259"/>
      </w:pPr>
      <w:r>
        <w:rPr>
          <w:rFonts w:ascii="Aptos" w:cs="Aptos" w:eastAsia="Aptos" w:hAnsi="Aptos"/>
          <w:b/>
          <w:bCs/>
          <w:color w:val="2D2D2D"/>
        </w:rPr>
        <w:t xml:space="preserve">Actors: </w:t>
      </w:r>
      <w:r>
        <w:rPr>
          <w:rFonts w:ascii="Aptos" w:cs="Aptos" w:eastAsia="Aptos" w:hAnsi="Aptos"/>
          <w:color w:val="2D2D2D"/>
        </w:rPr>
        <w:t xml:space="preserve">guest, student, administrator, external attacker, and application operator.</w:t>
      </w:r>
    </w:p>
    <w:p>
      <w:pPr>
        <w:pStyle w:val="ListParagraph"/>
        <w:numPr>
          <w:ilvl w:val="0"/>
          <w:numId w:val="2"/>
        </w:numPr>
        <w:spacing w:after="100" w:line="259"/>
      </w:pPr>
      <w:r>
        <w:rPr>
          <w:rFonts w:ascii="Aptos" w:cs="Aptos" w:eastAsia="Aptos" w:hAnsi="Aptos"/>
          <w:b/>
          <w:bCs/>
          <w:color w:val="2D2D2D"/>
        </w:rPr>
        <w:t xml:space="preserve">Processes: </w:t>
      </w:r>
      <w:r>
        <w:rPr>
          <w:rFonts w:ascii="Aptos" w:cs="Aptos" w:eastAsia="Aptos" w:hAnsi="Aptos"/>
          <w:color w:val="2D2D2D"/>
        </w:rPr>
        <w:t xml:space="preserve">registration/login, profile management, internship browsing and application, practice sessions, timed mock tests and auto-submit, score analysis, analytics generation, and admin management of listings, questions and applications.</w:t>
      </w:r>
    </w:p>
    <w:p>
      <w:pPr>
        <w:pStyle w:val="ListParagraph"/>
        <w:numPr>
          <w:ilvl w:val="0"/>
          <w:numId w:val="2"/>
        </w:numPr>
        <w:spacing w:after="100" w:line="259"/>
      </w:pPr>
      <w:r>
        <w:rPr>
          <w:rFonts w:ascii="Aptos" w:cs="Aptos" w:eastAsia="Aptos" w:hAnsi="Aptos"/>
          <w:b/>
          <w:bCs/>
          <w:color w:val="2D2D2D"/>
        </w:rPr>
        <w:t xml:space="preserve">Data stores: </w:t>
      </w:r>
      <w:r>
        <w:rPr>
          <w:rFonts w:ascii="Aptos" w:cs="Aptos" w:eastAsia="Aptos" w:hAnsi="Aptos"/>
          <w:color w:val="2D2D2D"/>
        </w:rPr>
        <w:t xml:space="preserve">application database, uploaded resume storage, configuration/secrets store, and backups.</w:t>
      </w:r>
    </w:p>
    <w:p>
      <w:pPr>
        <w:pStyle w:val="ListParagraph"/>
        <w:numPr>
          <w:ilvl w:val="0"/>
          <w:numId w:val="2"/>
        </w:numPr>
        <w:spacing w:after="100" w:line="259"/>
      </w:pPr>
      <w:r>
        <w:rPr>
          <w:rFonts w:ascii="Aptos" w:cs="Aptos" w:eastAsia="Aptos" w:hAnsi="Aptos"/>
          <w:b/>
          <w:bCs/>
          <w:color w:val="2D2D2D"/>
        </w:rPr>
        <w:t xml:space="preserve">Trust boundaries: </w:t>
      </w:r>
      <w:r>
        <w:rPr>
          <w:rFonts w:ascii="Aptos" w:cs="Aptos" w:eastAsia="Aptos" w:hAnsi="Aptos"/>
          <w:color w:val="2D2D2D"/>
        </w:rPr>
        <w:t xml:space="preserve">browser-to-server traffic, server-to-database access, server-to-file-storage, the code-evaluation sandbox, and admin functions.</w:t>
      </w:r>
    </w:p>
    <w:p>
      <w:pPr>
        <w:pStyle w:val="ListParagraph"/>
        <w:numPr>
          <w:ilvl w:val="0"/>
          <w:numId w:val="2"/>
        </w:numPr>
        <w:spacing w:after="100" w:line="259"/>
      </w:pPr>
      <w:r>
        <w:rPr>
          <w:rFonts w:ascii="Aptos" w:cs="Aptos" w:eastAsia="Aptos" w:hAnsi="Aptos"/>
          <w:b/>
          <w:bCs/>
          <w:color w:val="2D2D2D"/>
        </w:rPr>
        <w:t xml:space="preserve">Attack paths to review: </w:t>
      </w:r>
      <w:r>
        <w:rPr>
          <w:rFonts w:ascii="Aptos" w:cs="Aptos" w:eastAsia="Aptos" w:hAnsi="Aptos"/>
          <w:color w:val="2D2D2D"/>
        </w:rPr>
        <w:t xml:space="preserve">login attempts, record identifiers in requests (applications, attempts), listing and question forms, resume upload, test timer and submit requests, role-protected admin routes, session handling, and backup access.</w:t>
      </w:r>
    </w:p>
    <w:p>
      <w:pPr>
        <w:pStyle w:val="Heading1"/>
      </w:pPr>
      <w:r>
        <w:t xml:space="preserve">9. Requirement Traceability</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4624"/>
      </w:tblGrid>
      <w:tr>
        <w:trPr>
          <w:cantSplit/>
          <w:tblHeader/>
        </w:trPr>
        <w:tc>
          <w:tcPr>
            <w:tcW w:type="dxa" w:w="3800"/>
            <w:tcBorders>
              <w:top w:val="single" w:color="000000" w:sz="4"/>
              <w:left w:val="single" w:color="000000" w:sz="4"/>
              <w:bottom w:val="single" w:color="000000" w:sz="4"/>
              <w:right w:val="single" w:color="000000" w:sz="4"/>
            </w:tcBorders>
            <w:shd w:fill="BE520F" w:color="auto" w:val="clear"/>
            <w:tcMar>
              <w:top w:type="dxa" w:w="90"/>
              <w:left w:type="dxa" w:w="100"/>
              <w:bottom w:type="dxa" w:w="90"/>
              <w:right w:type="dxa" w:w="100"/>
            </w:tcMar>
            <w:vAlign w:val="center"/>
          </w:tcPr>
          <w:p>
            <w:pPr>
              <w:spacing w:after="0" w:line="259"/>
            </w:pPr>
            <w:r>
              <w:rPr>
                <w:rFonts w:ascii="Aptos" w:cs="Aptos" w:eastAsia="Aptos" w:hAnsi="Aptos"/>
                <w:b/>
                <w:bCs/>
                <w:color w:val="FFFFFF"/>
                <w:sz w:val="17"/>
                <w:szCs w:val="17"/>
              </w:rPr>
              <w:t xml:space="preserve">Risk / concern</w:t>
            </w:r>
          </w:p>
        </w:tc>
        <w:tc>
          <w:tcPr>
            <w:tcW w:type="dxa" w:w="1800"/>
            <w:tcBorders>
              <w:top w:val="single" w:color="000000" w:sz="4"/>
              <w:left w:val="single" w:color="000000" w:sz="4"/>
              <w:bottom w:val="single" w:color="000000" w:sz="4"/>
              <w:right w:val="single" w:color="000000" w:sz="4"/>
            </w:tcBorders>
            <w:shd w:fill="BE520F" w:color="auto" w:val="clear"/>
            <w:tcMar>
              <w:top w:type="dxa" w:w="90"/>
              <w:left w:type="dxa" w:w="100"/>
              <w:bottom w:type="dxa" w:w="90"/>
              <w:right w:type="dxa" w:w="100"/>
            </w:tcMar>
            <w:vAlign w:val="center"/>
          </w:tcPr>
          <w:p>
            <w:pPr>
              <w:spacing w:after="0" w:line="259"/>
            </w:pPr>
            <w:r>
              <w:rPr>
                <w:rFonts w:ascii="Aptos" w:cs="Aptos" w:eastAsia="Aptos" w:hAnsi="Aptos"/>
                <w:b/>
                <w:bCs/>
                <w:color w:val="FFFFFF"/>
                <w:sz w:val="17"/>
                <w:szCs w:val="17"/>
              </w:rPr>
              <w:t xml:space="preserve">Objective</w:t>
            </w:r>
          </w:p>
        </w:tc>
        <w:tc>
          <w:tcPr>
            <w:tcW w:type="dxa" w:w="4624"/>
            <w:tcBorders>
              <w:top w:val="single" w:color="000000" w:sz="4"/>
              <w:left w:val="single" w:color="000000" w:sz="4"/>
              <w:bottom w:val="single" w:color="000000" w:sz="4"/>
              <w:right w:val="single" w:color="000000" w:sz="4"/>
            </w:tcBorders>
            <w:shd w:fill="BE520F" w:color="auto" w:val="clear"/>
            <w:tcMar>
              <w:top w:type="dxa" w:w="90"/>
              <w:left w:type="dxa" w:w="100"/>
              <w:bottom w:type="dxa" w:w="90"/>
              <w:right w:type="dxa" w:w="100"/>
            </w:tcMar>
            <w:vAlign w:val="center"/>
          </w:tcPr>
          <w:p>
            <w:pPr>
              <w:spacing w:after="0" w:line="259"/>
            </w:pPr>
            <w:r>
              <w:rPr>
                <w:rFonts w:ascii="Aptos" w:cs="Aptos" w:eastAsia="Aptos" w:hAnsi="Aptos"/>
                <w:b/>
                <w:bCs/>
                <w:color w:val="FFFFFF"/>
                <w:sz w:val="17"/>
                <w:szCs w:val="17"/>
              </w:rPr>
              <w:t xml:space="preserve">Requirements</w:t>
            </w:r>
          </w:p>
        </w:tc>
      </w:tr>
      <w:tr>
        <w:trPr>
          <w:cantSplit/>
        </w:trPr>
        <w:tc>
          <w:tcPr>
            <w:tcW w:type="dxa" w:w="3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Credential theft / brute force</w:t>
            </w:r>
          </w:p>
        </w:tc>
        <w:tc>
          <w:tcPr>
            <w:tcW w:type="dxa" w:w="1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SO-01</w:t>
            </w:r>
          </w:p>
        </w:tc>
        <w:tc>
          <w:tcPr>
            <w:tcW w:type="dxa" w:w="46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SEC-01, SEC-02, SEC-03, SEC-04, SEC-05</w:t>
            </w:r>
          </w:p>
        </w:tc>
      </w:tr>
      <w:tr>
        <w:trPr>
          <w:cantSplit/>
        </w:trPr>
        <w:tc>
          <w:tcPr>
            <w:tcW w:type="dxa" w:w="3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Unauthorized access to student data</w:t>
            </w:r>
          </w:p>
        </w:tc>
        <w:tc>
          <w:tcPr>
            <w:tcW w:type="dxa" w:w="1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SO-02</w:t>
            </w:r>
          </w:p>
        </w:tc>
        <w:tc>
          <w:tcPr>
            <w:tcW w:type="dxa" w:w="46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SEC-06, SEC-18</w:t>
            </w:r>
          </w:p>
        </w:tc>
      </w:tr>
      <w:tr>
        <w:trPr>
          <w:cantSplit/>
        </w:trPr>
        <w:tc>
          <w:tcPr>
            <w:tcW w:type="dxa" w:w="3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Privilege escalation / admin misuse</w:t>
            </w:r>
          </w:p>
        </w:tc>
        <w:tc>
          <w:tcPr>
            <w:tcW w:type="dxa" w:w="1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SO-03</w:t>
            </w:r>
          </w:p>
        </w:tc>
        <w:tc>
          <w:tcPr>
            <w:tcW w:type="dxa" w:w="46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SEC-07, SEC-20</w:t>
            </w:r>
          </w:p>
        </w:tc>
      </w:tr>
      <w:tr>
        <w:trPr>
          <w:cantSplit/>
        </w:trPr>
        <w:tc>
          <w:tcPr>
            <w:tcW w:type="dxa" w:w="3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Transport / session exposure</w:t>
            </w:r>
          </w:p>
        </w:tc>
        <w:tc>
          <w:tcPr>
            <w:tcW w:type="dxa" w:w="1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SO-04</w:t>
            </w:r>
          </w:p>
        </w:tc>
        <w:tc>
          <w:tcPr>
            <w:tcW w:type="dxa" w:w="46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SEC-05, SEC-11</w:t>
            </w:r>
          </w:p>
        </w:tc>
      </w:tr>
      <w:tr>
        <w:trPr>
          <w:cantSplit/>
        </w:trPr>
        <w:tc>
          <w:tcPr>
            <w:tcW w:type="dxa" w:w="3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Injection, XSS and unsafe input</w:t>
            </w:r>
          </w:p>
        </w:tc>
        <w:tc>
          <w:tcPr>
            <w:tcW w:type="dxa" w:w="1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SO-05</w:t>
            </w:r>
          </w:p>
        </w:tc>
        <w:tc>
          <w:tcPr>
            <w:tcW w:type="dxa" w:w="46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SEC-08, SEC-09, SEC-10, SEC-19</w:t>
            </w:r>
          </w:p>
        </w:tc>
      </w:tr>
      <w:tr>
        <w:trPr>
          <w:cantSplit/>
        </w:trPr>
        <w:tc>
          <w:tcPr>
            <w:tcW w:type="dxa" w:w="3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Test cheating and timer tampering</w:t>
            </w:r>
          </w:p>
        </w:tc>
        <w:tc>
          <w:tcPr>
            <w:tcW w:type="dxa" w:w="1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SO-06</w:t>
            </w:r>
          </w:p>
        </w:tc>
        <w:tc>
          <w:tcPr>
            <w:tcW w:type="dxa" w:w="46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SEC-12, SEC-13, SEC-14, SEC-15</w:t>
            </w:r>
          </w:p>
        </w:tc>
      </w:tr>
      <w:tr>
        <w:trPr>
          <w:cantSplit/>
        </w:trPr>
        <w:tc>
          <w:tcPr>
            <w:tcW w:type="dxa" w:w="3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Malicious uploads and code execution</w:t>
            </w:r>
          </w:p>
        </w:tc>
        <w:tc>
          <w:tcPr>
            <w:tcW w:type="dxa" w:w="1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SO-07</w:t>
            </w:r>
          </w:p>
        </w:tc>
        <w:tc>
          <w:tcPr>
            <w:tcW w:type="dxa" w:w="46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SEC-16, SEC-17</w:t>
            </w:r>
          </w:p>
        </w:tc>
      </w:tr>
      <w:tr>
        <w:trPr>
          <w:cantSplit/>
        </w:trPr>
        <w:tc>
          <w:tcPr>
            <w:tcW w:type="dxa" w:w="3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Database / backup exposure</w:t>
            </w:r>
          </w:p>
        </w:tc>
        <w:tc>
          <w:tcPr>
            <w:tcW w:type="dxa" w:w="1800"/>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SO-08</w:t>
            </w:r>
          </w:p>
        </w:tc>
        <w:tc>
          <w:tcPr>
            <w:tcW w:type="dxa" w:w="4624"/>
            <w:tcBorders>
              <w:top w:val="single" w:color="000000" w:sz="4"/>
              <w:left w:val="single" w:color="000000" w:sz="4"/>
              <w:bottom w:val="single" w:color="000000" w:sz="4"/>
              <w:right w:val="single" w:color="000000" w:sz="4"/>
            </w:tcBorders>
            <w:shd w:fill="FFFFFF"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SEC-22, SEC-24</w:t>
            </w:r>
          </w:p>
        </w:tc>
      </w:tr>
      <w:tr>
        <w:trPr>
          <w:cantSplit/>
        </w:trPr>
        <w:tc>
          <w:tcPr>
            <w:tcW w:type="dxa" w:w="3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Data loss / availability</w:t>
            </w:r>
          </w:p>
        </w:tc>
        <w:tc>
          <w:tcPr>
            <w:tcW w:type="dxa" w:w="1800"/>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SO-09</w:t>
            </w:r>
          </w:p>
        </w:tc>
        <w:tc>
          <w:tcPr>
            <w:tcW w:type="dxa" w:w="4624"/>
            <w:tcBorders>
              <w:top w:val="single" w:color="000000" w:sz="4"/>
              <w:left w:val="single" w:color="000000" w:sz="4"/>
              <w:bottom w:val="single" w:color="000000" w:sz="4"/>
              <w:right w:val="single" w:color="000000" w:sz="4"/>
            </w:tcBorders>
            <w:shd w:fill="FFF5EC" w:color="auto" w:val="clear"/>
            <w:tcMar>
              <w:top w:type="dxa" w:w="90"/>
              <w:left w:type="dxa" w:w="100"/>
              <w:bottom w:type="dxa" w:w="90"/>
              <w:right w:type="dxa" w:w="100"/>
            </w:tcMar>
            <w:vAlign w:val="center"/>
          </w:tcPr>
          <w:p>
            <w:pPr>
              <w:spacing w:after="0" w:line="259"/>
            </w:pPr>
            <w:r>
              <w:rPr>
                <w:rFonts w:ascii="Aptos" w:cs="Aptos" w:eastAsia="Aptos" w:hAnsi="Aptos"/>
                <w:color w:val="2D2D2D"/>
                <w:sz w:val="17"/>
                <w:szCs w:val="17"/>
              </w:rPr>
              <w:t xml:space="preserve">SEC-21, SEC-23, SEC-20</w:t>
            </w:r>
          </w:p>
        </w:tc>
      </w:tr>
    </w:tbl>
    <w:sectPr>
      <w:headerReference w:type="default" r:id="rId7"/>
      <w:footerReference w:type="default" r:id="rId8"/>
      <w:pgSz w:w="12240" w:h="15840" w:orient="portrait"/>
      <w:pgMar w:top="936" w:right="1037" w:bottom="936" w:left="1037"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96969"/>
        <w:sz w:val="16"/>
        <w:szCs w:val="16"/>
      </w:rPr>
      <w:t xml:space="preserve">Software Engineering Mini-Project  •  Security Requirements Specification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696969"/>
        <w:sz w:val="15"/>
        <w:szCs w:val="15"/>
      </w:rPr>
      <w:t xml:space="preserve">ONLINE INTERNSHIP &amp; PLACEMENT PREP PORTAL  |  SECURITY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00" w:before="240"/>
      <w:outlineLvl w:val="0"/>
    </w:pPr>
    <w:rPr>
      <w:rFonts w:ascii="Play" w:cs="Play" w:eastAsia="Play" w:hAnsi="Play"/>
      <w:b/>
      <w:bCs/>
      <w:color w:val="BE520F"/>
      <w:sz w:val="32"/>
      <w:szCs w:val="32"/>
    </w:rPr>
  </w:style>
  <w:style w:type="paragraph" w:styleId="Heading2">
    <w:name w:val="Heading 2"/>
    <w:basedOn w:val="Normal"/>
    <w:next w:val="Normal"/>
    <w:qFormat/>
    <w:pPr>
      <w:keepNext/>
      <w:keepLines/>
      <w:spacing w:after="100" w:before="160"/>
      <w:outlineLvl w:val="1"/>
    </w:pPr>
    <w:rPr>
      <w:rFonts w:ascii="Play" w:cs="Play" w:eastAsia="Play" w:hAnsi="Play"/>
      <w:b/>
      <w:bCs/>
      <w:color w:val="BE520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2026-10-15T05:28:46.417Z</dcterms:created>
  <dcterms:modified xsi:type="dcterms:W3CDTF">2026-10-15T05:28:46.425Z</dcterms:modified>
</cp:coreProperties>
</file>

<file path=docProps/custom.xml><?xml version="1.0" encoding="utf-8"?>
<Properties xmlns="http://schemas.openxmlformats.org/officeDocument/2006/custom-properties" xmlns:vt="http://schemas.openxmlformats.org/officeDocument/2006/docPropsVTypes"/>
</file>