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6"/>
          <w:szCs w:val="36"/>
        </w:rPr>
        <w:t xml:space="preserve">Paracetamol in water: how much is good vs bad?</w:t>
      </w:r>
    </w:p>
    <w:p>
      <w:pPr>
        <w:spacing w:after="40" w:before="0"/>
      </w:pPr>
      <w:r>
        <w:rPr>
          <w:rFonts w:ascii="Arial" w:cs="Arial" w:eastAsia="Arial" w:hAnsi="Arial"/>
          <w:i/>
          <w:iCs/>
          <w:color w:val="52514E"/>
          <w:sz w:val="19"/>
          <w:szCs w:val="19"/>
        </w:rPr>
        <w:t xml:space="preserve">AquaTrace · KL Ocean Hackathon · 8 October 2026</w:t>
      </w:r>
    </w:p>
    <w:p>
      <w:pPr>
        <w:spacing w:after="200" w:before="0"/>
      </w:pPr>
      <w:r>
        <w:rPr>
          <w:rFonts w:ascii="Arial" w:cs="Arial" w:eastAsia="Arial" w:hAnsi="Arial"/>
          <w:i/>
          <w:iCs/>
          <w:color w:val="52514E"/>
          <w:sz w:val="19"/>
          <w:szCs w:val="19"/>
        </w:rPr>
        <w:t xml:space="preserve">Units: 1 mg/L = 1,000 µg/L = 1,000,000 ng/L</w:t>
      </w:r>
    </w:p>
    <w:p>
      <w:pPr>
        <w:pStyle w:val="Heading2"/>
        <w:spacing w:after="120" w:before="260"/>
      </w:pPr>
      <w:r>
        <w:rPr>
          <w:rFonts w:ascii="Arial" w:cs="Arial" w:eastAsia="Arial" w:hAnsi="Arial"/>
          <w:b/>
          <w:bCs/>
          <w:color w:val="1F4E5A"/>
          <w:sz w:val="26"/>
          <w:szCs w:val="26"/>
        </w:rPr>
        <w:t xml:space="preserve">The answer</w:t>
      </w:r>
    </w:p>
    <w:p>
      <w:pPr>
        <w:pBdr>
          <w:left w:val="single" w:color="1F4E5A" w:sz="24" w:space="8"/>
        </w:pBdr>
        <w:shd w:fill="EAF2F4" w:color="auto" w:val="clear"/>
        <w:spacing w:after="80" w:before="40"/>
        <w:ind w:left="160"/>
      </w:pPr>
      <w:r>
        <w:rPr>
          <w:rFonts w:ascii="Arial" w:cs="Arial" w:eastAsia="Arial" w:hAnsi="Arial"/>
          <w:b/>
          <w:bCs/>
          <w:sz w:val="24"/>
          <w:szCs w:val="24"/>
        </w:rPr>
        <w:t xml:space="preserve">Good: below 1 µg/L   ·   Warning: 1–10 µg/L   ·   Bad: 10 µg/L or more</w:t>
      </w:r>
    </w:p>
    <w:p>
      <w:pPr>
        <w:spacing w:after="120" w:before="0"/>
      </w:pPr>
      <w:r>
        <w:rPr>
          <w:rFonts w:ascii="Arial" w:cs="Arial" w:eastAsia="Arial" w:hAnsi="Arial"/>
          <w:sz w:val="21"/>
          <w:szCs w:val="21"/>
        </w:rPr>
        <w:t xml:space="preserve">The "bad" line is the PNEC for aquatic life, 10 µg/L (0.01 mg/L), from Albarano et al. (2025), the newest estimate, based on 55 aquatic species. A less strict alternative is the NORMAN database value of 46 µg/L.</w:t>
      </w:r>
    </w:p>
    <w:p>
      <w:pPr>
        <w:pStyle w:val="Heading2"/>
        <w:spacing w:after="120" w:before="260"/>
      </w:pPr>
      <w:r>
        <w:rPr>
          <w:rFonts w:ascii="Arial" w:cs="Arial" w:eastAsia="Arial" w:hAnsi="Arial"/>
          <w:b/>
          <w:bCs/>
          <w:color w:val="1F4E5A"/>
          <w:sz w:val="26"/>
          <w:szCs w:val="26"/>
        </w:rPr>
        <w:t xml:space="preserve">Key terms</w:t>
      </w:r>
    </w:p>
    <w:p>
      <w:pPr>
        <w:pStyle w:val="ListParagraph"/>
        <w:numPr>
          <w:ilvl w:val="0"/>
          <w:numId w:val="2"/>
        </w:numPr>
        <w:spacing w:after="80"/>
      </w:pPr>
      <w:r>
        <w:rPr>
          <w:rFonts w:ascii="Arial" w:cs="Arial" w:eastAsia="Arial" w:hAnsi="Arial"/>
          <w:b/>
          <w:bCs/>
          <w:sz w:val="21"/>
          <w:szCs w:val="21"/>
        </w:rPr>
        <w:t xml:space="preserve">PNEC (predicted no-effect concentration): </w:t>
      </w:r>
      <w:r>
        <w:rPr>
          <w:rFonts w:ascii="Arial" w:cs="Arial" w:eastAsia="Arial" w:hAnsi="Arial"/>
          <w:sz w:val="21"/>
          <w:szCs w:val="21"/>
        </w:rPr>
        <w:t xml:space="preserve">below this level, aquatic life should be safe.</w:t>
      </w:r>
    </w:p>
    <w:p>
      <w:pPr>
        <w:pStyle w:val="ListParagraph"/>
        <w:numPr>
          <w:ilvl w:val="0"/>
          <w:numId w:val="2"/>
        </w:numPr>
        <w:spacing w:after="80"/>
      </w:pPr>
      <w:r>
        <w:rPr>
          <w:rFonts w:ascii="Arial" w:cs="Arial" w:eastAsia="Arial" w:hAnsi="Arial"/>
          <w:b/>
          <w:bCs/>
          <w:sz w:val="21"/>
          <w:szCs w:val="21"/>
        </w:rPr>
        <w:t xml:space="preserve">HC5 (hazardous concentration for 5% of species): </w:t>
      </w:r>
      <w:r>
        <w:rPr>
          <w:rFonts w:ascii="Arial" w:cs="Arial" w:eastAsia="Arial" w:hAnsi="Arial"/>
          <w:sz w:val="21"/>
          <w:szCs w:val="21"/>
        </w:rPr>
        <w:t xml:space="preserve">the level at which about 5% of aquatic species start to be affected.</w:t>
      </w:r>
    </w:p>
    <w:p>
      <w:pPr>
        <w:pStyle w:val="ListParagraph"/>
        <w:numPr>
          <w:ilvl w:val="0"/>
          <w:numId w:val="2"/>
        </w:numPr>
        <w:spacing w:after="80"/>
      </w:pPr>
      <w:r>
        <w:rPr>
          <w:rFonts w:ascii="Arial" w:cs="Arial" w:eastAsia="Arial" w:hAnsi="Arial"/>
          <w:b/>
          <w:bCs/>
          <w:sz w:val="21"/>
          <w:szCs w:val="21"/>
        </w:rPr>
        <w:t xml:space="preserve">RQ (risk quotient): </w:t>
      </w:r>
      <w:r>
        <w:rPr>
          <w:rFonts w:ascii="Arial" w:cs="Arial" w:eastAsia="Arial" w:hAnsi="Arial"/>
          <w:sz w:val="21"/>
          <w:szCs w:val="21"/>
        </w:rPr>
        <w:t xml:space="preserve">measured concentration ÷ PNEC. Below 0.1 = low risk, 0.1 to 1 = medium, 1 or more = high.</w:t>
      </w:r>
    </w:p>
    <w:p>
      <w:pPr>
        <w:pStyle w:val="Heading2"/>
        <w:spacing w:after="120" w:before="260"/>
      </w:pPr>
      <w:r>
        <w:rPr>
          <w:rFonts w:ascii="Arial" w:cs="Arial" w:eastAsia="Arial" w:hAnsi="Arial"/>
          <w:b/>
          <w:bCs/>
          <w:color w:val="1F4E5A"/>
          <w:sz w:val="26"/>
          <w:szCs w:val="26"/>
        </w:rPr>
        <w:t xml:space="preserve">Risk bands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700"/>
        <w:gridCol w:w="1700"/>
        <w:gridCol w:w="2726"/>
      </w:tblGrid>
      <w:tr>
        <w:trPr>
          <w:tblHeader/>
        </w:trPr>
        <w:tc>
          <w:tcPr>
            <w:tcW w:type="dxa" w:w="1200"/>
            <w:tcBorders>
              <w:top w:val="single" w:color="BFBFBF" w:sz="4"/>
              <w:left w:val="single" w:color="BFBFBF" w:sz="4"/>
              <w:bottom w:val="single" w:color="BFBFBF" w:sz="4"/>
              <w:right w:val="single" w:color="BFBFBF" w:sz="4"/>
            </w:tcBorders>
            <w:shd w:fill="1F4E5A" w:color="auto" w:val="clear"/>
            <w:tcMar>
              <w:top w:type="dxa" w:w="60"/>
              <w:left w:type="dxa" w:w="100"/>
              <w:bottom w:type="dxa" w:w="60"/>
              <w:right w:type="dxa" w:w="100"/>
            </w:tcMar>
          </w:tcPr>
          <w:p>
            <w:r>
              <w:rPr>
                <w:rFonts w:ascii="Arial" w:cs="Arial" w:eastAsia="Arial" w:hAnsi="Arial"/>
                <w:b/>
                <w:bCs/>
                <w:color w:val="FFFFFF"/>
                <w:sz w:val="19"/>
                <w:szCs w:val="19"/>
              </w:rPr>
              <w:t xml:space="preserve">Band</w:t>
            </w:r>
          </w:p>
        </w:tc>
        <w:tc>
          <w:tcPr>
            <w:tcW w:type="dxa" w:w="1700"/>
            <w:tcBorders>
              <w:top w:val="single" w:color="BFBFBF" w:sz="4"/>
              <w:left w:val="single" w:color="BFBFBF" w:sz="4"/>
              <w:bottom w:val="single" w:color="BFBFBF" w:sz="4"/>
              <w:right w:val="single" w:color="BFBFBF" w:sz="4"/>
            </w:tcBorders>
            <w:shd w:fill="1F4E5A" w:color="auto" w:val="clear"/>
            <w:tcMar>
              <w:top w:type="dxa" w:w="60"/>
              <w:left w:type="dxa" w:w="100"/>
              <w:bottom w:type="dxa" w:w="60"/>
              <w:right w:type="dxa" w:w="100"/>
            </w:tcMar>
          </w:tcPr>
          <w:p>
            <w:r>
              <w:rPr>
                <w:rFonts w:ascii="Arial" w:cs="Arial" w:eastAsia="Arial" w:hAnsi="Arial"/>
                <w:b/>
                <w:bCs/>
                <w:color w:val="FFFFFF"/>
                <w:sz w:val="19"/>
                <w:szCs w:val="19"/>
              </w:rPr>
              <w:t xml:space="preserve">Risk quotient</w:t>
            </w:r>
          </w:p>
        </w:tc>
        <w:tc>
          <w:tcPr>
            <w:tcW w:type="dxa" w:w="1700"/>
            <w:tcBorders>
              <w:top w:val="single" w:color="BFBFBF" w:sz="4"/>
              <w:left w:val="single" w:color="BFBFBF" w:sz="4"/>
              <w:bottom w:val="single" w:color="BFBFBF" w:sz="4"/>
              <w:right w:val="single" w:color="BFBFBF" w:sz="4"/>
            </w:tcBorders>
            <w:shd w:fill="1F4E5A" w:color="auto" w:val="clear"/>
            <w:tcMar>
              <w:top w:type="dxa" w:w="60"/>
              <w:left w:type="dxa" w:w="100"/>
              <w:bottom w:type="dxa" w:w="60"/>
              <w:right w:type="dxa" w:w="100"/>
            </w:tcMar>
          </w:tcPr>
          <w:p>
            <w:r>
              <w:rPr>
                <w:rFonts w:ascii="Arial" w:cs="Arial" w:eastAsia="Arial" w:hAnsi="Arial"/>
                <w:b/>
                <w:bCs/>
                <w:color w:val="FFFFFF"/>
                <w:sz w:val="19"/>
                <w:szCs w:val="19"/>
              </w:rPr>
              <w:t xml:space="preserve">µg/L</w:t>
            </w:r>
          </w:p>
        </w:tc>
        <w:tc>
          <w:tcPr>
            <w:tcW w:type="dxa" w:w="1700"/>
            <w:tcBorders>
              <w:top w:val="single" w:color="BFBFBF" w:sz="4"/>
              <w:left w:val="single" w:color="BFBFBF" w:sz="4"/>
              <w:bottom w:val="single" w:color="BFBFBF" w:sz="4"/>
              <w:right w:val="single" w:color="BFBFBF" w:sz="4"/>
            </w:tcBorders>
            <w:shd w:fill="1F4E5A" w:color="auto" w:val="clear"/>
            <w:tcMar>
              <w:top w:type="dxa" w:w="60"/>
              <w:left w:type="dxa" w:w="100"/>
              <w:bottom w:type="dxa" w:w="60"/>
              <w:right w:type="dxa" w:w="100"/>
            </w:tcMar>
          </w:tcPr>
          <w:p>
            <w:r>
              <w:rPr>
                <w:rFonts w:ascii="Arial" w:cs="Arial" w:eastAsia="Arial" w:hAnsi="Arial"/>
                <w:b/>
                <w:bCs/>
                <w:color w:val="FFFFFF"/>
                <w:sz w:val="19"/>
                <w:szCs w:val="19"/>
              </w:rPr>
              <w:t xml:space="preserve">mg/L</w:t>
            </w:r>
          </w:p>
        </w:tc>
        <w:tc>
          <w:tcPr>
            <w:tcW w:type="dxa" w:w="2726"/>
            <w:tcBorders>
              <w:top w:val="single" w:color="BFBFBF" w:sz="4"/>
              <w:left w:val="single" w:color="BFBFBF" w:sz="4"/>
              <w:bottom w:val="single" w:color="BFBFBF" w:sz="4"/>
              <w:right w:val="single" w:color="BFBFBF" w:sz="4"/>
            </w:tcBorders>
            <w:shd w:fill="1F4E5A" w:color="auto" w:val="clear"/>
            <w:tcMar>
              <w:top w:type="dxa" w:w="60"/>
              <w:left w:type="dxa" w:w="100"/>
              <w:bottom w:type="dxa" w:w="60"/>
              <w:right w:type="dxa" w:w="100"/>
            </w:tcMar>
          </w:tcPr>
          <w:p>
            <w:r>
              <w:rPr>
                <w:rFonts w:ascii="Arial" w:cs="Arial" w:eastAsia="Arial" w:hAnsi="Arial"/>
                <w:b/>
                <w:bCs/>
                <w:color w:val="FFFFFF"/>
                <w:sz w:val="19"/>
                <w:szCs w:val="19"/>
              </w:rPr>
              <w:t xml:space="preserve">What it means</w:t>
            </w:r>
          </w:p>
        </w:tc>
      </w:tr>
      <w:tr>
        <w:tc>
          <w:tcPr>
            <w:tcW w:type="dxa" w:w="1200"/>
            <w:tcBorders>
              <w:top w:val="single" w:color="BFBFBF" w:sz="4"/>
              <w:left w:val="single" w:color="BFBFBF" w:sz="4"/>
              <w:bottom w:val="single" w:color="BFBFBF" w:sz="4"/>
              <w:right w:val="single" w:color="BFBFBF" w:sz="4"/>
            </w:tcBorders>
            <w:shd w:fill="C6EFCE" w:color="auto" w:val="clear"/>
            <w:tcMar>
              <w:top w:type="dxa" w:w="50"/>
              <w:left w:type="dxa" w:w="100"/>
              <w:bottom w:type="dxa" w:w="50"/>
              <w:right w:type="dxa" w:w="100"/>
            </w:tcMar>
          </w:tcPr>
          <w:p>
            <w:pPr>
              <w:jc w:val="left"/>
            </w:pPr>
            <w:r>
              <w:rPr>
                <w:rFonts w:ascii="Arial" w:cs="Arial" w:eastAsia="Arial" w:hAnsi="Arial"/>
                <w:b/>
                <w:bCs/>
                <w:sz w:val="19"/>
                <w:szCs w:val="19"/>
              </w:rPr>
              <w:t xml:space="preserve">Low</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RQ &lt; 0.1</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below 1</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below 0.001</w:t>
            </w:r>
          </w:p>
        </w:tc>
        <w:tc>
          <w:tcPr>
            <w:tcW w:type="dxa" w:w="27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Normal river water</w:t>
            </w:r>
          </w:p>
        </w:tc>
      </w:tr>
      <w:tr>
        <w:tc>
          <w:tcPr>
            <w:tcW w:type="dxa" w:w="1200"/>
            <w:tcBorders>
              <w:top w:val="single" w:color="BFBFBF" w:sz="4"/>
              <w:left w:val="single" w:color="BFBFBF" w:sz="4"/>
              <w:bottom w:val="single" w:color="BFBFBF" w:sz="4"/>
              <w:right w:val="single" w:color="BFBFBF" w:sz="4"/>
            </w:tcBorders>
            <w:shd w:fill="FFEB9C" w:color="auto" w:val="clear"/>
            <w:tcMar>
              <w:top w:type="dxa" w:w="50"/>
              <w:left w:type="dxa" w:w="100"/>
              <w:bottom w:type="dxa" w:w="50"/>
              <w:right w:type="dxa" w:w="100"/>
            </w:tcMar>
          </w:tcPr>
          <w:p>
            <w:pPr>
              <w:jc w:val="left"/>
            </w:pPr>
            <w:r>
              <w:rPr>
                <w:rFonts w:ascii="Arial" w:cs="Arial" w:eastAsia="Arial" w:hAnsi="Arial"/>
                <w:b/>
                <w:bCs/>
                <w:sz w:val="19"/>
                <w:szCs w:val="19"/>
              </w:rPr>
              <w:t xml:space="preserve">Medium</w:t>
            </w:r>
          </w:p>
        </w:tc>
        <w:tc>
          <w:tcPr>
            <w:tcW w:type="dxa" w:w="17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0.1 ≤ RQ &lt; 1</w:t>
            </w:r>
          </w:p>
        </w:tc>
        <w:tc>
          <w:tcPr>
            <w:tcW w:type="dxa" w:w="17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1 to 10</w:t>
            </w:r>
          </w:p>
        </w:tc>
        <w:tc>
          <w:tcPr>
            <w:tcW w:type="dxa" w:w="17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0.001 to 0.01</w:t>
            </w:r>
          </w:p>
        </w:tc>
        <w:tc>
          <w:tcPr>
            <w:tcW w:type="dxa" w:w="2726"/>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Sewage-impacted water: keep watching</w:t>
            </w:r>
          </w:p>
        </w:tc>
      </w:tr>
      <w:tr>
        <w:tc>
          <w:tcPr>
            <w:tcW w:type="dxa" w:w="1200"/>
            <w:tcBorders>
              <w:top w:val="single" w:color="BFBFBF" w:sz="4"/>
              <w:left w:val="single" w:color="BFBFBF" w:sz="4"/>
              <w:bottom w:val="single" w:color="BFBFBF" w:sz="4"/>
              <w:right w:val="single" w:color="BFBFBF" w:sz="4"/>
            </w:tcBorders>
            <w:shd w:fill="FFC7CE" w:color="auto" w:val="clear"/>
            <w:tcMar>
              <w:top w:type="dxa" w:w="50"/>
              <w:left w:type="dxa" w:w="100"/>
              <w:bottom w:type="dxa" w:w="50"/>
              <w:right w:type="dxa" w:w="100"/>
            </w:tcMar>
          </w:tcPr>
          <w:p>
            <w:pPr>
              <w:jc w:val="left"/>
            </w:pPr>
            <w:r>
              <w:rPr>
                <w:rFonts w:ascii="Arial" w:cs="Arial" w:eastAsia="Arial" w:hAnsi="Arial"/>
                <w:b/>
                <w:bCs/>
                <w:sz w:val="19"/>
                <w:szCs w:val="19"/>
              </w:rPr>
              <w:t xml:space="preserve">High</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RQ ≥ 1</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10 or more</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0.01 or more</w:t>
            </w:r>
          </w:p>
        </w:tc>
        <w:tc>
          <w:tcPr>
            <w:tcW w:type="dxa" w:w="27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Risk to aquatic life: confirm by HPLC and find the source</w:t>
            </w:r>
          </w:p>
        </w:tc>
      </w:tr>
    </w:tbl>
    <w:p>
      <w:pPr>
        <w:pStyle w:val="Heading2"/>
        <w:spacing w:after="120" w:before="260"/>
      </w:pPr>
      <w:r>
        <w:rPr>
          <w:rFonts w:ascii="Arial" w:cs="Arial" w:eastAsia="Arial" w:hAnsi="Arial"/>
          <w:b/>
          <w:bCs/>
          <w:color w:val="1F4E5A"/>
          <w:sz w:val="26"/>
          <w:szCs w:val="26"/>
        </w:rPr>
        <w:t xml:space="preserve">Key limits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1900"/>
        <w:gridCol w:w="2526"/>
      </w:tblGrid>
      <w:tr>
        <w:trPr>
          <w:tblHeader/>
        </w:trPr>
        <w:tc>
          <w:tcPr>
            <w:tcW w:type="dxa" w:w="3300"/>
            <w:tcBorders>
              <w:top w:val="single" w:color="BFBFBF" w:sz="4"/>
              <w:left w:val="single" w:color="BFBFBF" w:sz="4"/>
              <w:bottom w:val="single" w:color="BFBFBF" w:sz="4"/>
              <w:right w:val="single" w:color="BFBFBF" w:sz="4"/>
            </w:tcBorders>
            <w:shd w:fill="1F4E5A" w:color="auto" w:val="clear"/>
            <w:tcMar>
              <w:top w:type="dxa" w:w="60"/>
              <w:left w:type="dxa" w:w="100"/>
              <w:bottom w:type="dxa" w:w="60"/>
              <w:right w:type="dxa" w:w="100"/>
            </w:tcMar>
          </w:tcPr>
          <w:p>
            <w:r>
              <w:rPr>
                <w:rFonts w:ascii="Arial" w:cs="Arial" w:eastAsia="Arial" w:hAnsi="Arial"/>
                <w:b/>
                <w:bCs/>
                <w:color w:val="FFFFFF"/>
                <w:sz w:val="19"/>
                <w:szCs w:val="19"/>
              </w:rPr>
              <w:t xml:space="preserve">Limit</w:t>
            </w:r>
          </w:p>
        </w:tc>
        <w:tc>
          <w:tcPr>
            <w:tcW w:type="dxa" w:w="1300"/>
            <w:tcBorders>
              <w:top w:val="single" w:color="BFBFBF" w:sz="4"/>
              <w:left w:val="single" w:color="BFBFBF" w:sz="4"/>
              <w:bottom w:val="single" w:color="BFBFBF" w:sz="4"/>
              <w:right w:val="single" w:color="BFBFBF" w:sz="4"/>
            </w:tcBorders>
            <w:shd w:fill="1F4E5A" w:color="auto" w:val="clear"/>
            <w:tcMar>
              <w:top w:type="dxa" w:w="60"/>
              <w:left w:type="dxa" w:w="100"/>
              <w:bottom w:type="dxa" w:w="60"/>
              <w:right w:type="dxa" w:w="100"/>
            </w:tcMar>
          </w:tcPr>
          <w:p>
            <w:r>
              <w:rPr>
                <w:rFonts w:ascii="Arial" w:cs="Arial" w:eastAsia="Arial" w:hAnsi="Arial"/>
                <w:b/>
                <w:bCs/>
                <w:color w:val="FFFFFF"/>
                <w:sz w:val="19"/>
                <w:szCs w:val="19"/>
              </w:rPr>
              <w:t xml:space="preserve">µg/L</w:t>
            </w:r>
          </w:p>
        </w:tc>
        <w:tc>
          <w:tcPr>
            <w:tcW w:type="dxa" w:w="1900"/>
            <w:tcBorders>
              <w:top w:val="single" w:color="BFBFBF" w:sz="4"/>
              <w:left w:val="single" w:color="BFBFBF" w:sz="4"/>
              <w:bottom w:val="single" w:color="BFBFBF" w:sz="4"/>
              <w:right w:val="single" w:color="BFBFBF" w:sz="4"/>
            </w:tcBorders>
            <w:shd w:fill="1F4E5A" w:color="auto" w:val="clear"/>
            <w:tcMar>
              <w:top w:type="dxa" w:w="60"/>
              <w:left w:type="dxa" w:w="100"/>
              <w:bottom w:type="dxa" w:w="60"/>
              <w:right w:type="dxa" w:w="100"/>
            </w:tcMar>
          </w:tcPr>
          <w:p>
            <w:r>
              <w:rPr>
                <w:rFonts w:ascii="Arial" w:cs="Arial" w:eastAsia="Arial" w:hAnsi="Arial"/>
                <w:b/>
                <w:bCs/>
                <w:color w:val="FFFFFF"/>
                <w:sz w:val="19"/>
                <w:szCs w:val="19"/>
              </w:rPr>
              <w:t xml:space="preserve">Protects</w:t>
            </w:r>
          </w:p>
        </w:tc>
        <w:tc>
          <w:tcPr>
            <w:tcW w:type="dxa" w:w="2526"/>
            <w:tcBorders>
              <w:top w:val="single" w:color="BFBFBF" w:sz="4"/>
              <w:left w:val="single" w:color="BFBFBF" w:sz="4"/>
              <w:bottom w:val="single" w:color="BFBFBF" w:sz="4"/>
              <w:right w:val="single" w:color="BFBFBF" w:sz="4"/>
            </w:tcBorders>
            <w:shd w:fill="1F4E5A" w:color="auto" w:val="clear"/>
            <w:tcMar>
              <w:top w:type="dxa" w:w="60"/>
              <w:left w:type="dxa" w:w="100"/>
              <w:bottom w:type="dxa" w:w="60"/>
              <w:right w:type="dxa" w:w="100"/>
            </w:tcMar>
          </w:tcPr>
          <w:p>
            <w:r>
              <w:rPr>
                <w:rFonts w:ascii="Arial" w:cs="Arial" w:eastAsia="Arial" w:hAnsi="Arial"/>
                <w:b/>
                <w:bCs/>
                <w:color w:val="FFFFFF"/>
                <w:sz w:val="19"/>
                <w:szCs w:val="19"/>
              </w:rPr>
              <w:t xml:space="preserve">Source</w:t>
            </w:r>
          </w:p>
        </w:tc>
      </w:tr>
      <w:tr>
        <w:tc>
          <w:tcPr>
            <w:tcW w:type="dxa" w:w="33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PNEC, aquatic life (newest)</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10</w:t>
            </w:r>
          </w:p>
        </w:tc>
        <w:tc>
          <w:tcPr>
            <w:tcW w:type="dxa" w:w="19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Aquatic life</w:t>
            </w:r>
          </w:p>
        </w:tc>
        <w:tc>
          <w:tcPr>
            <w:tcW w:type="dxa" w:w="25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Albarano et al. 2025 [1]</w:t>
            </w:r>
          </w:p>
        </w:tc>
      </w:tr>
      <w:tr>
        <w:tc>
          <w:tcPr>
            <w:tcW w:type="dxa" w:w="33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PNEC, NORMAN database</w:t>
            </w:r>
          </w:p>
        </w:tc>
        <w:tc>
          <w:tcPr>
            <w:tcW w:type="dxa" w:w="13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46</w:t>
            </w:r>
          </w:p>
        </w:tc>
        <w:tc>
          <w:tcPr>
            <w:tcW w:type="dxa" w:w="19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Aquatic life</w:t>
            </w:r>
          </w:p>
        </w:tc>
        <w:tc>
          <w:tcPr>
            <w:tcW w:type="dxa" w:w="2526"/>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Env. Sci. Europe 2024 [2]</w:t>
            </w:r>
          </w:p>
        </w:tc>
      </w:tr>
      <w:tr>
        <w:tc>
          <w:tcPr>
            <w:tcW w:type="dxa" w:w="33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HC5: 5% of species affected</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50</w:t>
            </w:r>
          </w:p>
        </w:tc>
        <w:tc>
          <w:tcPr>
            <w:tcW w:type="dxa" w:w="19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Aquatic life</w:t>
            </w:r>
          </w:p>
        </w:tc>
        <w:tc>
          <w:tcPr>
            <w:tcW w:type="dxa" w:w="25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Albarano et al. 2025 [1]</w:t>
            </w:r>
          </w:p>
        </w:tc>
      </w:tr>
      <w:tr>
        <w:tc>
          <w:tcPr>
            <w:tcW w:type="dxa" w:w="33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Drinking-water guideline</w:t>
            </w:r>
          </w:p>
        </w:tc>
        <w:tc>
          <w:tcPr>
            <w:tcW w:type="dxa" w:w="13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175</w:t>
            </w:r>
          </w:p>
        </w:tc>
        <w:tc>
          <w:tcPr>
            <w:tcW w:type="dxa" w:w="19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Human health</w:t>
            </w:r>
          </w:p>
        </w:tc>
        <w:tc>
          <w:tcPr>
            <w:tcW w:type="dxa" w:w="2526"/>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Australia AGWR 2008 [3]</w:t>
            </w:r>
          </w:p>
        </w:tc>
      </w:tr>
      <w:tr>
        <w:tc>
          <w:tcPr>
            <w:tcW w:type="dxa" w:w="33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Drinking-water guidance</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200</w:t>
            </w:r>
          </w:p>
        </w:tc>
        <w:tc>
          <w:tcPr>
            <w:tcW w:type="dxa" w:w="19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Human health</w:t>
            </w:r>
          </w:p>
        </w:tc>
        <w:tc>
          <w:tcPr>
            <w:tcW w:type="dxa" w:w="25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Minnesota Dept. of Health 2015 [4]</w:t>
            </w:r>
          </w:p>
        </w:tc>
      </w:tr>
    </w:tbl>
    <w:p>
      <w:pPr>
        <w:spacing w:after="120" w:before="80"/>
      </w:pPr>
      <w:r>
        <w:rPr>
          <w:rFonts w:ascii="Arial" w:cs="Arial" w:eastAsia="Arial" w:hAnsi="Arial"/>
          <w:i/>
          <w:iCs/>
          <w:color w:val="52514E"/>
          <w:sz w:val="19"/>
          <w:szCs w:val="19"/>
        </w:rPr>
        <w:t xml:space="preserve">Aquatic-life limits are 4–20 times stricter than the human drinking-water limits. For river water, use the aquatic-life limit.</w:t>
      </w:r>
    </w:p>
    <w:p>
      <w:pPr>
        <w:pStyle w:val="Heading2"/>
        <w:spacing w:after="120" w:before="260"/>
      </w:pPr>
      <w:r>
        <w:rPr>
          <w:rFonts w:ascii="Arial" w:cs="Arial" w:eastAsia="Arial" w:hAnsi="Arial"/>
          <w:b/>
          <w:bCs/>
          <w:color w:val="1F4E5A"/>
          <w:sz w:val="26"/>
          <w:szCs w:val="26"/>
        </w:rPr>
        <w:t xml:space="preserve">Where real water falls</w:t>
      </w:r>
    </w:p>
    <w:p>
      <w:pPr>
        <w:spacing w:after="120"/>
      </w:pPr>
      <w:r>
        <w:drawing>
          <wp:inline distT="0" distB="0" distL="0" distR="0">
            <wp:extent cx="5715000" cy="3324225"/>
            <wp:effectExtent t="0" r="0" b="0" l="0"/>
            <wp:docPr id="1" name="ladder" descr="Log-scale dot plot of measured paracetamol levels and safe limits, from 0.042 to 16,900 µg/L, over low, medium and high risk bands." title="Paracetamol levels vs safe li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32422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1200"/>
        <w:gridCol w:w="1300"/>
        <w:gridCol w:w="2626"/>
      </w:tblGrid>
      <w:tr>
        <w:trPr>
          <w:tblHeader/>
        </w:trPr>
        <w:tc>
          <w:tcPr>
            <w:tcW w:type="dxa" w:w="3900"/>
            <w:tcBorders>
              <w:top w:val="single" w:color="BFBFBF" w:sz="4"/>
              <w:left w:val="single" w:color="BFBFBF" w:sz="4"/>
              <w:bottom w:val="single" w:color="BFBFBF" w:sz="4"/>
              <w:right w:val="single" w:color="BFBFBF" w:sz="4"/>
            </w:tcBorders>
            <w:shd w:fill="1F4E5A" w:color="auto" w:val="clear"/>
            <w:tcMar>
              <w:top w:type="dxa" w:w="60"/>
              <w:left w:type="dxa" w:w="100"/>
              <w:bottom w:type="dxa" w:w="60"/>
              <w:right w:type="dxa" w:w="100"/>
            </w:tcMar>
          </w:tcPr>
          <w:p>
            <w:r>
              <w:rPr>
                <w:rFonts w:ascii="Arial" w:cs="Arial" w:eastAsia="Arial" w:hAnsi="Arial"/>
                <w:b/>
                <w:bCs/>
                <w:color w:val="FFFFFF"/>
                <w:sz w:val="19"/>
                <w:szCs w:val="19"/>
              </w:rPr>
              <w:t xml:space="preserve">Level</w:t>
            </w:r>
          </w:p>
        </w:tc>
        <w:tc>
          <w:tcPr>
            <w:tcW w:type="dxa" w:w="1200"/>
            <w:tcBorders>
              <w:top w:val="single" w:color="BFBFBF" w:sz="4"/>
              <w:left w:val="single" w:color="BFBFBF" w:sz="4"/>
              <w:bottom w:val="single" w:color="BFBFBF" w:sz="4"/>
              <w:right w:val="single" w:color="BFBFBF" w:sz="4"/>
            </w:tcBorders>
            <w:shd w:fill="1F4E5A" w:color="auto" w:val="clear"/>
            <w:tcMar>
              <w:top w:type="dxa" w:w="60"/>
              <w:left w:type="dxa" w:w="100"/>
              <w:bottom w:type="dxa" w:w="60"/>
              <w:right w:type="dxa" w:w="100"/>
            </w:tcMar>
          </w:tcPr>
          <w:p>
            <w:r>
              <w:rPr>
                <w:rFonts w:ascii="Arial" w:cs="Arial" w:eastAsia="Arial" w:hAnsi="Arial"/>
                <w:b/>
                <w:bCs/>
                <w:color w:val="FFFFFF"/>
                <w:sz w:val="19"/>
                <w:szCs w:val="19"/>
              </w:rPr>
              <w:t xml:space="preserve">µg/L</w:t>
            </w:r>
          </w:p>
        </w:tc>
        <w:tc>
          <w:tcPr>
            <w:tcW w:type="dxa" w:w="1300"/>
            <w:tcBorders>
              <w:top w:val="single" w:color="BFBFBF" w:sz="4"/>
              <w:left w:val="single" w:color="BFBFBF" w:sz="4"/>
              <w:bottom w:val="single" w:color="BFBFBF" w:sz="4"/>
              <w:right w:val="single" w:color="BFBFBF" w:sz="4"/>
            </w:tcBorders>
            <w:shd w:fill="1F4E5A" w:color="auto"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2626"/>
            <w:tcBorders>
              <w:top w:val="single" w:color="BFBFBF" w:sz="4"/>
              <w:left w:val="single" w:color="BFBFBF" w:sz="4"/>
              <w:bottom w:val="single" w:color="BFBFBF" w:sz="4"/>
              <w:right w:val="single" w:color="BFBFBF" w:sz="4"/>
            </w:tcBorders>
            <w:shd w:fill="1F4E5A" w:color="auto" w:val="clear"/>
            <w:tcMar>
              <w:top w:type="dxa" w:w="60"/>
              <w:left w:type="dxa" w:w="100"/>
              <w:bottom w:type="dxa" w:w="60"/>
              <w:right w:type="dxa" w:w="100"/>
            </w:tcMar>
          </w:tcPr>
          <w:p>
            <w:r>
              <w:rPr>
                <w:rFonts w:ascii="Arial" w:cs="Arial" w:eastAsia="Arial" w:hAnsi="Arial"/>
                <w:b/>
                <w:bCs/>
                <w:color w:val="FFFFFF"/>
                <w:sz w:val="19"/>
                <w:szCs w:val="19"/>
              </w:rPr>
              <w:t xml:space="preserve">Source</w:t>
            </w:r>
          </w:p>
        </w:tc>
      </w:tr>
      <w:tr>
        <w:tc>
          <w:tcPr>
            <w:tcW w:type="dxa" w:w="39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US rivers: median detection</w:t>
            </w:r>
          </w:p>
        </w:tc>
        <w:tc>
          <w:tcPr>
            <w:tcW w:type="dxa" w:w="12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0.042</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Measured</w:t>
            </w:r>
          </w:p>
        </w:tc>
        <w:tc>
          <w:tcPr>
            <w:tcW w:type="dxa" w:w="26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US Water Quality Portal [5]</w:t>
            </w:r>
          </w:p>
        </w:tc>
      </w:tr>
      <w:tr>
        <w:tc>
          <w:tcPr>
            <w:tcW w:type="dxa" w:w="39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Langat River (Malaysia): maximum</w:t>
            </w:r>
          </w:p>
        </w:tc>
        <w:tc>
          <w:tcPr>
            <w:tcW w:type="dxa" w:w="12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0.346</w:t>
            </w:r>
          </w:p>
        </w:tc>
        <w:tc>
          <w:tcPr>
            <w:tcW w:type="dxa" w:w="13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Measured</w:t>
            </w:r>
          </w:p>
        </w:tc>
        <w:tc>
          <w:tcPr>
            <w:tcW w:type="dxa" w:w="2626"/>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Al-Odaini et al. 2013 [6]</w:t>
            </w:r>
          </w:p>
        </w:tc>
      </w:tr>
      <w:tr>
        <w:tc>
          <w:tcPr>
            <w:tcW w:type="dxa" w:w="39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US rivers: 99th percentile</w:t>
            </w:r>
          </w:p>
        </w:tc>
        <w:tc>
          <w:tcPr>
            <w:tcW w:type="dxa" w:w="12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5.3</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Measured</w:t>
            </w:r>
          </w:p>
        </w:tc>
        <w:tc>
          <w:tcPr>
            <w:tcW w:type="dxa" w:w="26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US Water Quality Portal [5]</w:t>
            </w:r>
          </w:p>
        </w:tc>
      </w:tr>
      <w:tr>
        <w:tc>
          <w:tcPr>
            <w:tcW w:type="dxa" w:w="39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PNEC, aquatic life</w:t>
            </w:r>
          </w:p>
        </w:tc>
        <w:tc>
          <w:tcPr>
            <w:tcW w:type="dxa" w:w="12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10</w:t>
            </w:r>
          </w:p>
        </w:tc>
        <w:tc>
          <w:tcPr>
            <w:tcW w:type="dxa" w:w="13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Threshold</w:t>
            </w:r>
          </w:p>
        </w:tc>
        <w:tc>
          <w:tcPr>
            <w:tcW w:type="dxa" w:w="2626"/>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Albarano et al. 2025 [1]</w:t>
            </w:r>
          </w:p>
        </w:tc>
      </w:tr>
      <w:tr>
        <w:tc>
          <w:tcPr>
            <w:tcW w:type="dxa" w:w="39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Hospital WWTP influent max (Saudi Arabia)</w:t>
            </w:r>
          </w:p>
        </w:tc>
        <w:tc>
          <w:tcPr>
            <w:tcW w:type="dxa" w:w="12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12.4</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Measured</w:t>
            </w:r>
          </w:p>
        </w:tc>
        <w:tc>
          <w:tcPr>
            <w:tcW w:type="dxa" w:w="26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Al Qarni et al. 2016 [7]</w:t>
            </w:r>
          </w:p>
        </w:tc>
      </w:tr>
      <w:tr>
        <w:tc>
          <w:tcPr>
            <w:tcW w:type="dxa" w:w="39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PNEC, NORMAN database</w:t>
            </w:r>
          </w:p>
        </w:tc>
        <w:tc>
          <w:tcPr>
            <w:tcW w:type="dxa" w:w="12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46</w:t>
            </w:r>
          </w:p>
        </w:tc>
        <w:tc>
          <w:tcPr>
            <w:tcW w:type="dxa" w:w="13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Threshold</w:t>
            </w:r>
          </w:p>
        </w:tc>
        <w:tc>
          <w:tcPr>
            <w:tcW w:type="dxa" w:w="2626"/>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Env. Sci. Europe 2024 [2]</w:t>
            </w:r>
          </w:p>
        </w:tc>
      </w:tr>
      <w:tr>
        <w:tc>
          <w:tcPr>
            <w:tcW w:type="dxa" w:w="39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HC5: 5% of species affected</w:t>
            </w:r>
          </w:p>
        </w:tc>
        <w:tc>
          <w:tcPr>
            <w:tcW w:type="dxa" w:w="12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50</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Threshold</w:t>
            </w:r>
          </w:p>
        </w:tc>
        <w:tc>
          <w:tcPr>
            <w:tcW w:type="dxa" w:w="26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Albarano et al. 2025 [1]</w:t>
            </w:r>
          </w:p>
        </w:tc>
      </w:tr>
      <w:tr>
        <w:tc>
          <w:tcPr>
            <w:tcW w:type="dxa" w:w="39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AquaTrace website level (current placeholder)</w:t>
            </w:r>
          </w:p>
        </w:tc>
        <w:tc>
          <w:tcPr>
            <w:tcW w:type="dxa" w:w="12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150</w:t>
            </w:r>
          </w:p>
        </w:tc>
        <w:tc>
          <w:tcPr>
            <w:tcW w:type="dxa" w:w="13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Website</w:t>
            </w:r>
          </w:p>
        </w:tc>
        <w:tc>
          <w:tcPr>
            <w:tcW w:type="dxa" w:w="2626"/>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AquaTrace website code</w:t>
            </w:r>
          </w:p>
        </w:tc>
      </w:tr>
      <w:tr>
        <w:tc>
          <w:tcPr>
            <w:tcW w:type="dxa" w:w="39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Drinking-water limit</w:t>
            </w:r>
          </w:p>
        </w:tc>
        <w:tc>
          <w:tcPr>
            <w:tcW w:type="dxa" w:w="12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175</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Threshold</w:t>
            </w:r>
          </w:p>
        </w:tc>
        <w:tc>
          <w:tcPr>
            <w:tcW w:type="dxa" w:w="26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Australia AGWR 2008 [3]</w:t>
            </w:r>
          </w:p>
        </w:tc>
      </w:tr>
      <w:tr>
        <w:tc>
          <w:tcPr>
            <w:tcW w:type="dxa" w:w="39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Municipal WWTP influent (Mysuru, India)</w:t>
            </w:r>
          </w:p>
        </w:tc>
        <w:tc>
          <w:tcPr>
            <w:tcW w:type="dxa" w:w="12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4,600</w:t>
            </w:r>
          </w:p>
        </w:tc>
        <w:tc>
          <w:tcPr>
            <w:tcW w:type="dxa" w:w="13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Measured</w:t>
            </w:r>
          </w:p>
        </w:tc>
        <w:tc>
          <w:tcPr>
            <w:tcW w:type="dxa" w:w="2626"/>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Shipingana et al. 2022 [8]</w:t>
            </w:r>
          </w:p>
        </w:tc>
      </w:tr>
      <w:tr>
        <w:tc>
          <w:tcPr>
            <w:tcW w:type="dxa" w:w="39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Daphnia magna acute LC50 (48 h)</w:t>
            </w:r>
          </w:p>
        </w:tc>
        <w:tc>
          <w:tcPr>
            <w:tcW w:type="dxa" w:w="12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16,900</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Threshold</w:t>
            </w:r>
          </w:p>
        </w:tc>
        <w:tc>
          <w:tcPr>
            <w:tcW w:type="dxa" w:w="26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Kim 2006 [9]</w:t>
            </w:r>
          </w:p>
        </w:tc>
      </w:tr>
    </w:tbl>
    <w:p>
      <w:pPr>
        <w:spacing w:after="120" w:before="80"/>
      </w:pPr>
      <w:r>
        <w:rPr>
          <w:rFonts w:ascii="Arial" w:cs="Arial" w:eastAsia="Arial" w:hAnsi="Arial"/>
          <w:i/>
          <w:iCs/>
          <w:color w:val="52514E"/>
          <w:sz w:val="19"/>
          <w:szCs w:val="19"/>
        </w:rPr>
        <w:t xml:space="preserve">Most river water sits in the low band. Untreated sewage and hospital wastewater sit well above the PNEC. Sewage treatment removes more than 98% of paracetamol [7].</w:t>
      </w:r>
    </w:p>
    <w:p>
      <w:pPr>
        <w:pStyle w:val="Heading2"/>
        <w:spacing w:after="120" w:before="260"/>
      </w:pPr>
      <w:r>
        <w:rPr>
          <w:rFonts w:ascii="Arial" w:cs="Arial" w:eastAsia="Arial" w:hAnsi="Arial"/>
          <w:b/>
          <w:bCs/>
          <w:color w:val="1F4E5A"/>
          <w:sz w:val="26"/>
          <w:szCs w:val="26"/>
        </w:rPr>
        <w:t xml:space="preserve">How we chose the lab standards</w:t>
      </w:r>
    </w:p>
    <w:p>
      <w:pPr>
        <w:spacing w:after="120" w:before="0"/>
      </w:pPr>
      <w:r>
        <w:rPr>
          <w:rFonts w:ascii="Arial" w:cs="Arial" w:eastAsia="Arial" w:hAnsi="Arial"/>
          <w:sz w:val="21"/>
          <w:szCs w:val="21"/>
        </w:rPr>
        <w:t xml:space="preserve">An instrument such as HPLC or UV-Vis does not show a concentration directly. It shows a </w:t>
      </w:r>
      <w:r>
        <w:rPr>
          <w:rFonts w:ascii="Arial" w:cs="Arial" w:eastAsia="Arial" w:hAnsi="Arial"/>
          <w:b/>
          <w:bCs/>
          <w:sz w:val="21"/>
          <w:szCs w:val="21"/>
        </w:rPr>
        <w:t xml:space="preserve">signal</w:t>
      </w:r>
      <w:r>
        <w:rPr>
          <w:rFonts w:ascii="Arial" w:cs="Arial" w:eastAsia="Arial" w:hAnsi="Arial"/>
          <w:sz w:val="21"/>
          <w:szCs w:val="21"/>
        </w:rPr>
        <w:t xml:space="preserve">: a peak area (HPLC) or an absorbance (UV-Vis). To turn a signal into a concentration, we first measure solutions whose concentration we already know, called </w:t>
      </w:r>
      <w:r>
        <w:rPr>
          <w:rFonts w:ascii="Arial" w:cs="Arial" w:eastAsia="Arial" w:hAnsi="Arial"/>
          <w:b/>
          <w:bCs/>
          <w:sz w:val="21"/>
          <w:szCs w:val="21"/>
        </w:rPr>
        <w:t xml:space="preserve">standards</w:t>
      </w:r>
      <w:r>
        <w:rPr>
          <w:rFonts w:ascii="Arial" w:cs="Arial" w:eastAsia="Arial" w:hAnsi="Arial"/>
          <w:sz w:val="21"/>
          <w:szCs w:val="21"/>
        </w:rPr>
        <w:t xml:space="preserve">. The line that links signal to concentration is the </w:t>
      </w:r>
      <w:r>
        <w:rPr>
          <w:rFonts w:ascii="Arial" w:cs="Arial" w:eastAsia="Arial" w:hAnsi="Arial"/>
          <w:b/>
          <w:bCs/>
          <w:sz w:val="21"/>
          <w:szCs w:val="21"/>
        </w:rPr>
        <w:t xml:space="preserve">calibration curve</w:t>
      </w:r>
      <w:r>
        <w:rPr>
          <w:rFonts w:ascii="Arial" w:cs="Arial" w:eastAsia="Arial" w:hAnsi="Arial"/>
          <w:sz w:val="21"/>
          <w:szCs w:val="21"/>
        </w:rPr>
        <w:t xml:space="preserve">.</w:t>
      </w:r>
    </w:p>
    <w:p>
      <w:pPr>
        <w:pStyle w:val="Heading3"/>
        <w:spacing w:after="100" w:before="200"/>
      </w:pPr>
      <w:r>
        <w:rPr>
          <w:rFonts w:ascii="Arial" w:cs="Arial" w:eastAsia="Arial" w:hAnsi="Arial"/>
          <w:b/>
          <w:bCs/>
          <w:color w:val="0B0B0B"/>
          <w:sz w:val="23"/>
          <w:szCs w:val="23"/>
        </w:rPr>
        <w:t xml:space="preserve">1. How a calibration curve works</w:t>
      </w:r>
    </w:p>
    <w:p>
      <w:pPr>
        <w:spacing w:after="120"/>
      </w:pPr>
      <w:r>
        <w:drawing>
          <wp:inline distT="0" distB="0" distL="0" distR="0">
            <wp:extent cx="5715000" cy="2590800"/>
            <wp:effectExtent t="0" r="0" b="0" l="0"/>
            <wp:docPr id="1" name="Calibration curve" descr="Six-step flow from known standards to reading an unknown sample, beside an example straight-line calibration curve where an unknown signal is read back to about 6.8 mg/L." title="Calibration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90800"/>
                    </a:xfrm>
                    <a:prstGeom prst="rect">
                      <a:avLst/>
                    </a:prstGeom>
                  </pic:spPr>
                </pic:pic>
              </a:graphicData>
            </a:graphic>
          </wp:inline>
        </w:drawing>
      </w:r>
    </w:p>
    <w:p>
      <w:pPr>
        <w:spacing w:after="60" w:before="0"/>
      </w:pPr>
      <w:r>
        <w:rPr>
          <w:rFonts w:ascii="Arial" w:cs="Arial" w:eastAsia="Arial" w:hAnsi="Arial"/>
          <w:b/>
          <w:bCs/>
          <w:sz w:val="21"/>
          <w:szCs w:val="21"/>
        </w:rPr>
        <w:t xml:space="preserve">Why it is built this way:</w:t>
      </w:r>
    </w:p>
    <w:p>
      <w:pPr>
        <w:pStyle w:val="ListParagraph"/>
        <w:numPr>
          <w:ilvl w:val="0"/>
          <w:numId w:val="2"/>
        </w:numPr>
        <w:spacing w:after="80"/>
      </w:pPr>
      <w:r>
        <w:rPr>
          <w:rFonts w:ascii="Arial" w:cs="Arial" w:eastAsia="Arial" w:hAnsi="Arial"/>
          <w:sz w:val="21"/>
          <w:szCs w:val="21"/>
        </w:rPr>
        <w:t xml:space="preserve">The line can only be trusted </w:t>
      </w:r>
      <w:r>
        <w:rPr>
          <w:rFonts w:ascii="Arial" w:cs="Arial" w:eastAsia="Arial" w:hAnsi="Arial"/>
          <w:b/>
          <w:bCs/>
          <w:sz w:val="21"/>
          <w:szCs w:val="21"/>
        </w:rPr>
        <w:t xml:space="preserve">between the lowest and the highest standard</w:t>
      </w:r>
      <w:r>
        <w:rPr>
          <w:rFonts w:ascii="Arial" w:cs="Arial" w:eastAsia="Arial" w:hAnsi="Arial"/>
          <w:sz w:val="21"/>
          <w:szCs w:val="21"/>
        </w:rPr>
        <w:t xml:space="preserve">. Reading inside that range (interpolation) is reliable; reading beyond it (extrapolation) is guessing. So the standards must cover every level we care about.</w:t>
      </w:r>
    </w:p>
    <w:p>
      <w:pPr>
        <w:pStyle w:val="ListParagraph"/>
        <w:numPr>
          <w:ilvl w:val="0"/>
          <w:numId w:val="2"/>
        </w:numPr>
        <w:spacing w:after="80"/>
      </w:pPr>
      <w:r>
        <w:rPr>
          <w:rFonts w:ascii="Arial" w:cs="Arial" w:eastAsia="Arial" w:hAnsi="Arial"/>
          <w:sz w:val="21"/>
          <w:szCs w:val="21"/>
        </w:rPr>
        <w:t xml:space="preserve">The </w:t>
      </w:r>
      <w:r>
        <w:rPr>
          <w:rFonts w:ascii="Arial" w:cs="Arial" w:eastAsia="Arial" w:hAnsi="Arial"/>
          <w:b/>
          <w:bCs/>
          <w:sz w:val="21"/>
          <w:szCs w:val="21"/>
        </w:rPr>
        <w:t xml:space="preserve">blank (S0)</w:t>
      </w:r>
      <w:r>
        <w:rPr>
          <w:rFonts w:ascii="Arial" w:cs="Arial" w:eastAsia="Arial" w:hAnsi="Arial"/>
          <w:sz w:val="21"/>
          <w:szCs w:val="21"/>
        </w:rPr>
        <w:t xml:space="preserve"> shows the signal with no paracetamol. It sets the baseline and reveals contamination.</w:t>
      </w:r>
    </w:p>
    <w:p>
      <w:pPr>
        <w:pStyle w:val="ListParagraph"/>
        <w:numPr>
          <w:ilvl w:val="0"/>
          <w:numId w:val="2"/>
        </w:numPr>
        <w:spacing w:after="80"/>
      </w:pPr>
      <w:r>
        <w:rPr>
          <w:rFonts w:ascii="Arial" w:cs="Arial" w:eastAsia="Arial" w:hAnsi="Arial"/>
          <w:sz w:val="21"/>
          <w:szCs w:val="21"/>
        </w:rPr>
        <w:t xml:space="preserve">Standards placed </w:t>
      </w:r>
      <w:r>
        <w:rPr>
          <w:rFonts w:ascii="Arial" w:cs="Arial" w:eastAsia="Arial" w:hAnsi="Arial"/>
          <w:b/>
          <w:bCs/>
          <w:sz w:val="21"/>
          <w:szCs w:val="21"/>
        </w:rPr>
        <w:t xml:space="preserve">exactly on the decision lines</w:t>
      </w:r>
      <w:r>
        <w:rPr>
          <w:rFonts w:ascii="Arial" w:cs="Arial" w:eastAsia="Arial" w:hAnsi="Arial"/>
          <w:sz w:val="21"/>
          <w:szCs w:val="21"/>
        </w:rPr>
        <w:t xml:space="preserve"> give the most accurate answer where it matters most: is a sample above or below the safe limit?</w:t>
      </w:r>
    </w:p>
    <w:p>
      <w:pPr>
        <w:pStyle w:val="Heading3"/>
        <w:spacing w:after="100" w:before="200"/>
      </w:pPr>
      <w:r>
        <w:rPr>
          <w:rFonts w:ascii="Arial" w:cs="Arial" w:eastAsia="Arial" w:hAnsi="Arial"/>
          <w:b/>
          <w:bCs/>
          <w:color w:val="0B0B0B"/>
          <w:sz w:val="23"/>
          <w:szCs w:val="23"/>
        </w:rPr>
        <w:t xml:space="preserve">2. The standards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1000"/>
        <w:gridCol w:w="1100"/>
        <w:gridCol w:w="1850"/>
        <w:gridCol w:w="3826"/>
      </w:tblGrid>
      <w:tr>
        <w:trPr>
          <w:tblHeader/>
        </w:trPr>
        <w:tc>
          <w:tcPr>
            <w:tcW w:type="dxa" w:w="1250"/>
            <w:tcBorders>
              <w:top w:val="single" w:color="BFBFBF" w:sz="4"/>
              <w:left w:val="single" w:color="BFBFBF" w:sz="4"/>
              <w:bottom w:val="single" w:color="BFBFBF" w:sz="4"/>
              <w:right w:val="single" w:color="BFBFBF" w:sz="4"/>
            </w:tcBorders>
            <w:shd w:fill="1F4E5A" w:color="auto" w:val="clear"/>
            <w:tcMar>
              <w:top w:type="dxa" w:w="60"/>
              <w:left w:type="dxa" w:w="100"/>
              <w:bottom w:type="dxa" w:w="60"/>
              <w:right w:type="dxa" w:w="100"/>
            </w:tcMar>
          </w:tcPr>
          <w:p>
            <w:r>
              <w:rPr>
                <w:rFonts w:ascii="Arial" w:cs="Arial" w:eastAsia="Arial" w:hAnsi="Arial"/>
                <w:b/>
                <w:bCs/>
                <w:color w:val="FFFFFF"/>
                <w:sz w:val="19"/>
                <w:szCs w:val="19"/>
              </w:rPr>
              <w:t xml:space="preserve">Standard</w:t>
            </w:r>
          </w:p>
        </w:tc>
        <w:tc>
          <w:tcPr>
            <w:tcW w:type="dxa" w:w="1000"/>
            <w:tcBorders>
              <w:top w:val="single" w:color="BFBFBF" w:sz="4"/>
              <w:left w:val="single" w:color="BFBFBF" w:sz="4"/>
              <w:bottom w:val="single" w:color="BFBFBF" w:sz="4"/>
              <w:right w:val="single" w:color="BFBFBF" w:sz="4"/>
            </w:tcBorders>
            <w:shd w:fill="1F4E5A" w:color="auto" w:val="clear"/>
            <w:tcMar>
              <w:top w:type="dxa" w:w="60"/>
              <w:left w:type="dxa" w:w="100"/>
              <w:bottom w:type="dxa" w:w="60"/>
              <w:right w:type="dxa" w:w="100"/>
            </w:tcMar>
          </w:tcPr>
          <w:p>
            <w:r>
              <w:rPr>
                <w:rFonts w:ascii="Arial" w:cs="Arial" w:eastAsia="Arial" w:hAnsi="Arial"/>
                <w:b/>
                <w:bCs/>
                <w:color w:val="FFFFFF"/>
                <w:sz w:val="19"/>
                <w:szCs w:val="19"/>
              </w:rPr>
              <w:t xml:space="preserve">mg/L</w:t>
            </w:r>
          </w:p>
        </w:tc>
        <w:tc>
          <w:tcPr>
            <w:tcW w:type="dxa" w:w="1100"/>
            <w:tcBorders>
              <w:top w:val="single" w:color="BFBFBF" w:sz="4"/>
              <w:left w:val="single" w:color="BFBFBF" w:sz="4"/>
              <w:bottom w:val="single" w:color="BFBFBF" w:sz="4"/>
              <w:right w:val="single" w:color="BFBFBF" w:sz="4"/>
            </w:tcBorders>
            <w:shd w:fill="1F4E5A" w:color="auto" w:val="clear"/>
            <w:tcMar>
              <w:top w:type="dxa" w:w="60"/>
              <w:left w:type="dxa" w:w="100"/>
              <w:bottom w:type="dxa" w:w="60"/>
              <w:right w:type="dxa" w:w="100"/>
            </w:tcMar>
          </w:tcPr>
          <w:p>
            <w:r>
              <w:rPr>
                <w:rFonts w:ascii="Arial" w:cs="Arial" w:eastAsia="Arial" w:hAnsi="Arial"/>
                <w:b/>
                <w:bCs/>
                <w:color w:val="FFFFFF"/>
                <w:sz w:val="19"/>
                <w:szCs w:val="19"/>
              </w:rPr>
              <w:t xml:space="preserve">µg/L</w:t>
            </w:r>
          </w:p>
        </w:tc>
        <w:tc>
          <w:tcPr>
            <w:tcW w:type="dxa" w:w="1850"/>
            <w:tcBorders>
              <w:top w:val="single" w:color="BFBFBF" w:sz="4"/>
              <w:left w:val="single" w:color="BFBFBF" w:sz="4"/>
              <w:bottom w:val="single" w:color="BFBFBF" w:sz="4"/>
              <w:right w:val="single" w:color="BFBFBF" w:sz="4"/>
            </w:tcBorders>
            <w:shd w:fill="1F4E5A" w:color="auto" w:val="clear"/>
            <w:tcMar>
              <w:top w:type="dxa" w:w="60"/>
              <w:left w:type="dxa" w:w="100"/>
              <w:bottom w:type="dxa" w:w="60"/>
              <w:right w:type="dxa" w:w="100"/>
            </w:tcMar>
          </w:tcPr>
          <w:p>
            <w:r>
              <w:rPr>
                <w:rFonts w:ascii="Arial" w:cs="Arial" w:eastAsia="Arial" w:hAnsi="Arial"/>
                <w:b/>
                <w:bCs/>
                <w:color w:val="FFFFFF"/>
                <w:sz w:val="19"/>
                <w:szCs w:val="19"/>
              </w:rPr>
              <w:t xml:space="preserve">Measured with</w:t>
            </w:r>
          </w:p>
        </w:tc>
        <w:tc>
          <w:tcPr>
            <w:tcW w:type="dxa" w:w="3826"/>
            <w:tcBorders>
              <w:top w:val="single" w:color="BFBFBF" w:sz="4"/>
              <w:left w:val="single" w:color="BFBFBF" w:sz="4"/>
              <w:bottom w:val="single" w:color="BFBFBF" w:sz="4"/>
              <w:right w:val="single" w:color="BFBFBF" w:sz="4"/>
            </w:tcBorders>
            <w:shd w:fill="1F4E5A" w:color="auto" w:val="clear"/>
            <w:tcMar>
              <w:top w:type="dxa" w:w="60"/>
              <w:left w:type="dxa" w:w="100"/>
              <w:bottom w:type="dxa" w:w="60"/>
              <w:right w:type="dxa" w:w="100"/>
            </w:tcMar>
          </w:tcPr>
          <w:p>
            <w:r>
              <w:rPr>
                <w:rFonts w:ascii="Arial" w:cs="Arial" w:eastAsia="Arial" w:hAnsi="Arial"/>
                <w:b/>
                <w:bCs/>
                <w:color w:val="FFFFFF"/>
                <w:sz w:val="19"/>
                <w:szCs w:val="19"/>
              </w:rPr>
              <w:t xml:space="preserve">Why this level</w:t>
            </w:r>
          </w:p>
        </w:tc>
      </w:tr>
      <w:tr>
        <w:tc>
          <w:tcPr>
            <w:tcW w:type="dxa" w:w="125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bCs/>
                <w:sz w:val="19"/>
                <w:szCs w:val="19"/>
              </w:rPr>
              <w:t xml:space="preserve">S0</w:t>
            </w:r>
          </w:p>
        </w:tc>
        <w:tc>
          <w:tcPr>
            <w:tcW w:type="dxa" w:w="10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0</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0</w:t>
            </w:r>
          </w:p>
        </w:tc>
        <w:tc>
          <w:tcPr>
            <w:tcW w:type="dxa" w:w="185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All instruments</w:t>
            </w:r>
          </w:p>
        </w:tc>
        <w:tc>
          <w:tcPr>
            <w:tcW w:type="dxa" w:w="38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Blank: baseline with no paracetamol</w:t>
            </w:r>
          </w:p>
        </w:tc>
      </w:tr>
      <w:tr>
        <w:tc>
          <w:tcPr>
            <w:tcW w:type="dxa" w:w="125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bCs/>
                <w:sz w:val="19"/>
                <w:szCs w:val="19"/>
              </w:rPr>
              <w:t xml:space="preserve">S1</w:t>
            </w:r>
          </w:p>
        </w:tc>
        <w:tc>
          <w:tcPr>
            <w:tcW w:type="dxa" w:w="10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0.01</w:t>
            </w:r>
          </w:p>
        </w:tc>
        <w:tc>
          <w:tcPr>
            <w:tcW w:type="dxa" w:w="11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10</w:t>
            </w:r>
          </w:p>
        </w:tc>
        <w:tc>
          <w:tcPr>
            <w:tcW w:type="dxa" w:w="185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HPLC</w:t>
            </w:r>
          </w:p>
        </w:tc>
        <w:tc>
          <w:tcPr>
            <w:tcW w:type="dxa" w:w="3826"/>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PNEC (aquatic-life decision line); also the lowest level HPLC can measure reliably</w:t>
            </w:r>
          </w:p>
        </w:tc>
      </w:tr>
      <w:tr>
        <w:tc>
          <w:tcPr>
            <w:tcW w:type="dxa" w:w="125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bCs/>
                <w:sz w:val="19"/>
                <w:szCs w:val="19"/>
              </w:rPr>
              <w:t xml:space="preserve">S2</w:t>
            </w:r>
          </w:p>
        </w:tc>
        <w:tc>
          <w:tcPr>
            <w:tcW w:type="dxa" w:w="10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0.05</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50</w:t>
            </w:r>
          </w:p>
        </w:tc>
        <w:tc>
          <w:tcPr>
            <w:tcW w:type="dxa" w:w="185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HPLC</w:t>
            </w:r>
          </w:p>
        </w:tc>
        <w:tc>
          <w:tcPr>
            <w:tcW w:type="dxa" w:w="38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HC5: about 5% of species affected</w:t>
            </w:r>
          </w:p>
        </w:tc>
      </w:tr>
      <w:tr>
        <w:tc>
          <w:tcPr>
            <w:tcW w:type="dxa" w:w="125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bCs/>
                <w:sz w:val="19"/>
                <w:szCs w:val="19"/>
              </w:rPr>
              <w:t xml:space="preserve">S3</w:t>
            </w:r>
          </w:p>
        </w:tc>
        <w:tc>
          <w:tcPr>
            <w:tcW w:type="dxa" w:w="10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0.1</w:t>
            </w:r>
          </w:p>
        </w:tc>
        <w:tc>
          <w:tcPr>
            <w:tcW w:type="dxa" w:w="11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100</w:t>
            </w:r>
          </w:p>
        </w:tc>
        <w:tc>
          <w:tcPr>
            <w:tcW w:type="dxa" w:w="185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HPLC</w:t>
            </w:r>
          </w:p>
        </w:tc>
        <w:tc>
          <w:tcPr>
            <w:tcW w:type="dxa" w:w="3826"/>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Between the HC5 and the drinking-water limit (0.175 mg/L)</w:t>
            </w:r>
          </w:p>
        </w:tc>
      </w:tr>
      <w:tr>
        <w:tc>
          <w:tcPr>
            <w:tcW w:type="dxa" w:w="125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bCs/>
                <w:sz w:val="19"/>
                <w:szCs w:val="19"/>
              </w:rPr>
              <w:t xml:space="preserve">S4</w:t>
            </w:r>
          </w:p>
        </w:tc>
        <w:tc>
          <w:tcPr>
            <w:tcW w:type="dxa" w:w="10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0.5</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500</w:t>
            </w:r>
          </w:p>
        </w:tc>
        <w:tc>
          <w:tcPr>
            <w:tcW w:type="dxa" w:w="185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HPLC</w:t>
            </w:r>
          </w:p>
        </w:tc>
        <w:tc>
          <w:tcPr>
            <w:tcW w:type="dxa" w:w="38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Raw sewage / hospital drain level</w:t>
            </w:r>
          </w:p>
        </w:tc>
      </w:tr>
      <w:tr>
        <w:tc>
          <w:tcPr>
            <w:tcW w:type="dxa" w:w="125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bCs/>
                <w:sz w:val="19"/>
                <w:szCs w:val="19"/>
              </w:rPr>
              <w:t xml:space="preserve">S5</w:t>
            </w:r>
          </w:p>
        </w:tc>
        <w:tc>
          <w:tcPr>
            <w:tcW w:type="dxa" w:w="10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w:t>
            </w:r>
          </w:p>
        </w:tc>
        <w:tc>
          <w:tcPr>
            <w:tcW w:type="dxa" w:w="11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1,000</w:t>
            </w:r>
          </w:p>
        </w:tc>
        <w:tc>
          <w:tcPr>
            <w:tcW w:type="dxa" w:w="185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HPLC + UV-Vis</w:t>
            </w:r>
          </w:p>
        </w:tc>
        <w:tc>
          <w:tcPr>
            <w:tcW w:type="dxa" w:w="3826"/>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Overlap point 1 (UV-Vis is near its lower limit here)</w:t>
            </w:r>
          </w:p>
        </w:tc>
      </w:tr>
      <w:tr>
        <w:tc>
          <w:tcPr>
            <w:tcW w:type="dxa" w:w="125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bCs/>
                <w:sz w:val="19"/>
                <w:szCs w:val="19"/>
              </w:rPr>
              <w:t xml:space="preserve">S6</w:t>
            </w:r>
          </w:p>
        </w:tc>
        <w:tc>
          <w:tcPr>
            <w:tcW w:type="dxa" w:w="10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2</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2,000</w:t>
            </w:r>
          </w:p>
        </w:tc>
        <w:tc>
          <w:tcPr>
            <w:tcW w:type="dxa" w:w="185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UV-Vis</w:t>
            </w:r>
          </w:p>
        </w:tc>
        <w:tc>
          <w:tcPr>
            <w:tcW w:type="dxa" w:w="38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Start of the UV-Vis linear range</w:t>
            </w:r>
          </w:p>
        </w:tc>
      </w:tr>
      <w:tr>
        <w:tc>
          <w:tcPr>
            <w:tcW w:type="dxa" w:w="125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bCs/>
                <w:sz w:val="19"/>
                <w:szCs w:val="19"/>
              </w:rPr>
              <w:t xml:space="preserve">S7</w:t>
            </w:r>
          </w:p>
        </w:tc>
        <w:tc>
          <w:tcPr>
            <w:tcW w:type="dxa" w:w="10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5</w:t>
            </w:r>
          </w:p>
        </w:tc>
        <w:tc>
          <w:tcPr>
            <w:tcW w:type="dxa" w:w="11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5,000</w:t>
            </w:r>
          </w:p>
        </w:tc>
        <w:tc>
          <w:tcPr>
            <w:tcW w:type="dxa" w:w="185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HPLC + UV-Vis</w:t>
            </w:r>
          </w:p>
        </w:tc>
        <w:tc>
          <w:tcPr>
            <w:tcW w:type="dxa" w:w="3826"/>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Overlap point 2</w:t>
            </w:r>
          </w:p>
        </w:tc>
      </w:tr>
      <w:tr>
        <w:tc>
          <w:tcPr>
            <w:tcW w:type="dxa" w:w="125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bCs/>
                <w:sz w:val="19"/>
                <w:szCs w:val="19"/>
              </w:rPr>
              <w:t xml:space="preserve">S8</w:t>
            </w:r>
          </w:p>
        </w:tc>
        <w:tc>
          <w:tcPr>
            <w:tcW w:type="dxa" w:w="10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10</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10,000</w:t>
            </w:r>
          </w:p>
        </w:tc>
        <w:tc>
          <w:tcPr>
            <w:tcW w:type="dxa" w:w="185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HPLC + UV-Vis</w:t>
            </w:r>
          </w:p>
        </w:tc>
        <w:tc>
          <w:tcPr>
            <w:tcW w:type="dxa" w:w="38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Overlap point 3 (dilute before HPLC if above its calibrated range)</w:t>
            </w:r>
          </w:p>
        </w:tc>
      </w:tr>
      <w:tr>
        <w:tc>
          <w:tcPr>
            <w:tcW w:type="dxa" w:w="125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bCs/>
                <w:sz w:val="19"/>
                <w:szCs w:val="19"/>
              </w:rPr>
              <w:t xml:space="preserve">S9</w:t>
            </w:r>
          </w:p>
        </w:tc>
        <w:tc>
          <w:tcPr>
            <w:tcW w:type="dxa" w:w="10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15</w:t>
            </w:r>
          </w:p>
        </w:tc>
        <w:tc>
          <w:tcPr>
            <w:tcW w:type="dxa" w:w="11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15,000</w:t>
            </w:r>
          </w:p>
        </w:tc>
        <w:tc>
          <w:tcPr>
            <w:tcW w:type="dxa" w:w="185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UV-Vis</w:t>
            </w:r>
          </w:p>
        </w:tc>
        <w:tc>
          <w:tcPr>
            <w:tcW w:type="dxa" w:w="3826"/>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UV-Vis calibration</w:t>
            </w:r>
          </w:p>
        </w:tc>
      </w:tr>
      <w:tr>
        <w:tc>
          <w:tcPr>
            <w:tcW w:type="dxa" w:w="125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bCs/>
                <w:sz w:val="19"/>
                <w:szCs w:val="19"/>
              </w:rPr>
              <w:t xml:space="preserve">S10</w:t>
            </w:r>
          </w:p>
        </w:tc>
        <w:tc>
          <w:tcPr>
            <w:tcW w:type="dxa" w:w="10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20</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20,000</w:t>
            </w:r>
          </w:p>
        </w:tc>
        <w:tc>
          <w:tcPr>
            <w:tcW w:type="dxa" w:w="185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UV-Vis</w:t>
            </w:r>
          </w:p>
        </w:tc>
        <w:tc>
          <w:tcPr>
            <w:tcW w:type="dxa" w:w="38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UV-Vis calibration</w:t>
            </w:r>
          </w:p>
        </w:tc>
      </w:tr>
      <w:tr>
        <w:tc>
          <w:tcPr>
            <w:tcW w:type="dxa" w:w="125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bCs/>
                <w:sz w:val="19"/>
                <w:szCs w:val="19"/>
              </w:rPr>
              <w:t xml:space="preserve">S11</w:t>
            </w:r>
          </w:p>
        </w:tc>
        <w:tc>
          <w:tcPr>
            <w:tcW w:type="dxa" w:w="10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24</w:t>
            </w:r>
          </w:p>
        </w:tc>
        <w:tc>
          <w:tcPr>
            <w:tcW w:type="dxa" w:w="11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24,000</w:t>
            </w:r>
          </w:p>
        </w:tc>
        <w:tc>
          <w:tcPr>
            <w:tcW w:type="dxa" w:w="185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UV-Vis</w:t>
            </w:r>
          </w:p>
        </w:tc>
        <w:tc>
          <w:tcPr>
            <w:tcW w:type="dxa" w:w="3826"/>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End of the UV-Vis linear range</w:t>
            </w:r>
          </w:p>
        </w:tc>
      </w:tr>
    </w:tbl>
    <w:p>
      <w:pPr>
        <w:spacing w:after="120" w:before="60"/>
      </w:pPr>
      <w:r>
        <w:rPr>
          <w:rFonts w:ascii="Arial" w:cs="Arial" w:eastAsia="Arial" w:hAnsi="Arial"/>
          <w:i/>
          <w:iCs/>
          <w:color w:val="52514E"/>
          <w:sz w:val="19"/>
          <w:szCs w:val="19"/>
        </w:rPr>
        <w:t xml:space="preserve">The overlap standards (S5, S7, S8) are measured by both instruments, which gives paired UV-Vis and HPLC data for the machine-learning step.</w:t>
      </w:r>
    </w:p>
    <w:p>
      <w:pPr>
        <w:pStyle w:val="Heading3"/>
        <w:spacing w:after="100" w:before="200"/>
      </w:pPr>
      <w:r>
        <w:rPr>
          <w:rFonts w:ascii="Arial" w:cs="Arial" w:eastAsia="Arial" w:hAnsi="Arial"/>
          <w:b/>
          <w:bCs/>
          <w:color w:val="0B0B0B"/>
          <w:sz w:val="23"/>
          <w:szCs w:val="23"/>
        </w:rPr>
        <w:t xml:space="preserve">3. The four jobs of the standards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4726"/>
      </w:tblGrid>
      <w:tr>
        <w:trPr>
          <w:tblHeader/>
        </w:trPr>
        <w:tc>
          <w:tcPr>
            <w:tcW w:type="dxa" w:w="2100"/>
            <w:tcBorders>
              <w:top w:val="single" w:color="BFBFBF" w:sz="4"/>
              <w:left w:val="single" w:color="BFBFBF" w:sz="4"/>
              <w:bottom w:val="single" w:color="BFBFBF" w:sz="4"/>
              <w:right w:val="single" w:color="BFBFBF" w:sz="4"/>
            </w:tcBorders>
            <w:shd w:fill="1F4E5A" w:color="auto" w:val="clear"/>
            <w:tcMar>
              <w:top w:type="dxa" w:w="60"/>
              <w:left w:type="dxa" w:w="100"/>
              <w:bottom w:type="dxa" w:w="60"/>
              <w:right w:type="dxa" w:w="100"/>
            </w:tcMar>
          </w:tcPr>
          <w:p>
            <w:r>
              <w:rPr>
                <w:rFonts w:ascii="Arial" w:cs="Arial" w:eastAsia="Arial" w:hAnsi="Arial"/>
                <w:b/>
                <w:bCs/>
                <w:color w:val="FFFFFF"/>
                <w:sz w:val="19"/>
                <w:szCs w:val="19"/>
              </w:rPr>
              <w:t xml:space="preserve">Job</w:t>
            </w:r>
          </w:p>
        </w:tc>
        <w:tc>
          <w:tcPr>
            <w:tcW w:type="dxa" w:w="2200"/>
            <w:tcBorders>
              <w:top w:val="single" w:color="BFBFBF" w:sz="4"/>
              <w:left w:val="single" w:color="BFBFBF" w:sz="4"/>
              <w:bottom w:val="single" w:color="BFBFBF" w:sz="4"/>
              <w:right w:val="single" w:color="BFBFBF" w:sz="4"/>
            </w:tcBorders>
            <w:shd w:fill="1F4E5A" w:color="auto" w:val="clear"/>
            <w:tcMar>
              <w:top w:type="dxa" w:w="60"/>
              <w:left w:type="dxa" w:w="100"/>
              <w:bottom w:type="dxa" w:w="60"/>
              <w:right w:type="dxa" w:w="100"/>
            </w:tcMar>
          </w:tcPr>
          <w:p>
            <w:r>
              <w:rPr>
                <w:rFonts w:ascii="Arial" w:cs="Arial" w:eastAsia="Arial" w:hAnsi="Arial"/>
                <w:b/>
                <w:bCs/>
                <w:color w:val="FFFFFF"/>
                <w:sz w:val="19"/>
                <w:szCs w:val="19"/>
              </w:rPr>
              <w:t xml:space="preserve">Standards</w:t>
            </w:r>
          </w:p>
        </w:tc>
        <w:tc>
          <w:tcPr>
            <w:tcW w:type="dxa" w:w="4726"/>
            <w:tcBorders>
              <w:top w:val="single" w:color="BFBFBF" w:sz="4"/>
              <w:left w:val="single" w:color="BFBFBF" w:sz="4"/>
              <w:bottom w:val="single" w:color="BFBFBF" w:sz="4"/>
              <w:right w:val="single" w:color="BFBFBF" w:sz="4"/>
            </w:tcBorders>
            <w:shd w:fill="1F4E5A" w:color="auto" w:val="clear"/>
            <w:tcMar>
              <w:top w:type="dxa" w:w="60"/>
              <w:left w:type="dxa" w:w="100"/>
              <w:bottom w:type="dxa" w:w="60"/>
              <w:right w:type="dxa" w:w="100"/>
            </w:tcMar>
          </w:tcPr>
          <w:p>
            <w:r>
              <w:rPr>
                <w:rFonts w:ascii="Arial" w:cs="Arial" w:eastAsia="Arial" w:hAnsi="Arial"/>
                <w:b/>
                <w:bCs/>
                <w:color w:val="FFFFFF"/>
                <w:sz w:val="19"/>
                <w:szCs w:val="19"/>
              </w:rPr>
              <w:t xml:space="preserve">Why it matters</w:t>
            </w:r>
          </w:p>
        </w:tc>
      </w:tr>
      <w:tr>
        <w:tc>
          <w:tcPr>
            <w:tcW w:type="dxa" w:w="21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bCs/>
                <w:sz w:val="19"/>
                <w:szCs w:val="19"/>
              </w:rPr>
              <w:t xml:space="preserve">Environmental risk</w:t>
            </w:r>
          </w:p>
        </w:tc>
        <w:tc>
          <w:tcPr>
            <w:tcW w:type="dxa" w:w="22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S1, S2, S3 (0.01–0.1 mg/L)</w:t>
            </w:r>
          </w:p>
        </w:tc>
        <w:tc>
          <w:tcPr>
            <w:tcW w:type="dxa" w:w="47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The curve must cover the decision lines (PNEC, HC5), so a result near them is measured, not guessed.</w:t>
            </w:r>
          </w:p>
        </w:tc>
      </w:tr>
      <w:tr>
        <w:tc>
          <w:tcPr>
            <w:tcW w:type="dxa" w:w="21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bCs/>
                <w:sz w:val="19"/>
                <w:szCs w:val="19"/>
              </w:rPr>
              <w:t xml:space="preserve">HPLC limit</w:t>
            </w:r>
          </w:p>
        </w:tc>
        <w:tc>
          <w:tcPr>
            <w:tcW w:type="dxa" w:w="22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S1 (0.01 mg/L)</w:t>
            </w:r>
          </w:p>
        </w:tc>
        <w:tc>
          <w:tcPr>
            <w:tcW w:type="dxa" w:w="4726"/>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The lowest level HPLC can measure reliably (LOQ 0.01 mg/L) [10]. It checks that our instrument can reach the PNEC.</w:t>
            </w:r>
          </w:p>
        </w:tc>
      </w:tr>
      <w:tr>
        <w:tc>
          <w:tcPr>
            <w:tcW w:type="dxa" w:w="21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bCs/>
                <w:sz w:val="19"/>
                <w:szCs w:val="19"/>
              </w:rPr>
              <w:t xml:space="preserve">UV-Vis range</w:t>
            </w:r>
          </w:p>
        </w:tc>
        <w:tc>
          <w:tcPr>
            <w:tcW w:type="dxa" w:w="22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S5–S11 (1–24 mg/L)</w:t>
            </w:r>
          </w:p>
        </w:tc>
        <w:tc>
          <w:tcPr>
            <w:tcW w:type="dxa" w:w="47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UV-Vis is only linear between 2 and 24 mg/L [11]; it cannot see lower levels.</w:t>
            </w:r>
          </w:p>
        </w:tc>
      </w:tr>
      <w:tr>
        <w:tc>
          <w:tcPr>
            <w:tcW w:type="dxa" w:w="21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bCs/>
                <w:sz w:val="19"/>
                <w:szCs w:val="19"/>
              </w:rPr>
              <w:t xml:space="preserve">Sewage level</w:t>
            </w:r>
          </w:p>
        </w:tc>
        <w:tc>
          <w:tcPr>
            <w:tcW w:type="dxa" w:w="22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S4–S8 (0.5–10 mg/L)</w:t>
            </w:r>
          </w:p>
        </w:tc>
        <w:tc>
          <w:tcPr>
            <w:tcW w:type="dxa" w:w="4726"/>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Raw sewage and hospital wastewater can reach mg/L levels, so the curve must cover them too.</w:t>
            </w:r>
          </w:p>
        </w:tc>
      </w:tr>
    </w:tbl>
    <w:p>
      <w:pPr>
        <w:pStyle w:val="Heading3"/>
        <w:spacing w:after="100" w:before="200"/>
      </w:pPr>
      <w:r>
        <w:rPr>
          <w:rFonts w:ascii="Arial" w:cs="Arial" w:eastAsia="Arial" w:hAnsi="Arial"/>
          <w:b/>
          <w:bCs/>
          <w:color w:val="0B0B0B"/>
          <w:sz w:val="23"/>
          <w:szCs w:val="23"/>
        </w:rPr>
        <w:t xml:space="preserve">4. Why S1 = 0.01 mg/L (the PNEC)</w:t>
      </w:r>
    </w:p>
    <w:p>
      <w:pPr>
        <w:spacing w:after="120" w:before="0"/>
      </w:pPr>
      <w:r>
        <w:rPr>
          <w:rFonts w:ascii="Arial" w:cs="Arial" w:eastAsia="Arial" w:hAnsi="Arial"/>
          <w:sz w:val="21"/>
          <w:szCs w:val="21"/>
        </w:rPr>
        <w:t xml:space="preserve">PNEC means </w:t>
      </w:r>
      <w:r>
        <w:rPr>
          <w:rFonts w:ascii="Arial" w:cs="Arial" w:eastAsia="Arial" w:hAnsi="Arial"/>
          <w:b/>
          <w:bCs/>
          <w:sz w:val="21"/>
          <w:szCs w:val="21"/>
        </w:rPr>
        <w:t xml:space="preserve">predicted no-effect concentration</w:t>
      </w:r>
      <w:r>
        <w:rPr>
          <w:rFonts w:ascii="Arial" w:cs="Arial" w:eastAsia="Arial" w:hAnsi="Arial"/>
          <w:sz w:val="21"/>
          <w:szCs w:val="21"/>
        </w:rPr>
        <w:t xml:space="preserve">. Below this level, according to this risk assessment, paracetamol is not expected to cause noticeable harm to aquatic life.</w:t>
      </w:r>
    </w:p>
    <w:p>
      <w:pPr>
        <w:spacing w:after="120" w:before="0"/>
      </w:pPr>
      <w:r>
        <w:rPr>
          <w:rFonts w:ascii="Arial" w:cs="Arial" w:eastAsia="Arial" w:hAnsi="Arial"/>
          <w:sz w:val="21"/>
          <w:szCs w:val="21"/>
        </w:rPr>
        <w:t xml:space="preserve">We include 0.01 mg/L because it is an </w:t>
      </w:r>
      <w:r>
        <w:rPr>
          <w:rFonts w:ascii="Arial" w:cs="Arial" w:eastAsia="Arial" w:hAnsi="Arial"/>
          <w:b/>
          <w:bCs/>
          <w:sz w:val="21"/>
          <w:szCs w:val="21"/>
        </w:rPr>
        <w:t xml:space="preserve">environmental decision line</w:t>
      </w:r>
      <w:r>
        <w:rPr>
          <w:rFonts w:ascii="Arial" w:cs="Arial" w:eastAsia="Arial" w:hAnsi="Arial"/>
          <w:sz w:val="21"/>
          <w:szCs w:val="21"/>
        </w:rPr>
        <w:t xml:space="preserve">, not because it is a round number. If a river sample comes back near 0.01 mg/L, the calibration must be accurate right there. It is also the lowest level HPLC can measure reliably [10], so this standard also tests whether our method can reach the decision line at all.</w:t>
      </w:r>
    </w:p>
    <w:p>
      <w:pPr>
        <w:pStyle w:val="Heading3"/>
        <w:spacing w:after="100" w:before="200"/>
      </w:pPr>
      <w:r>
        <w:rPr>
          <w:rFonts w:ascii="Arial" w:cs="Arial" w:eastAsia="Arial" w:hAnsi="Arial"/>
          <w:b/>
          <w:bCs/>
          <w:color w:val="0B0B0B"/>
          <w:sz w:val="23"/>
          <w:szCs w:val="23"/>
        </w:rPr>
        <w:t xml:space="preserve">5. Why S2 = 0.05 mg/L (the HC5)</w:t>
      </w:r>
    </w:p>
    <w:p>
      <w:pPr>
        <w:spacing w:after="120" w:before="0"/>
      </w:pPr>
      <w:r>
        <w:rPr>
          <w:rFonts w:ascii="Arial" w:cs="Arial" w:eastAsia="Arial" w:hAnsi="Arial"/>
          <w:sz w:val="21"/>
          <w:szCs w:val="21"/>
        </w:rPr>
        <w:t xml:space="preserve">HC5 means </w:t>
      </w:r>
      <w:r>
        <w:rPr>
          <w:rFonts w:ascii="Arial" w:cs="Arial" w:eastAsia="Arial" w:hAnsi="Arial"/>
          <w:b/>
          <w:bCs/>
          <w:sz w:val="21"/>
          <w:szCs w:val="21"/>
        </w:rPr>
        <w:t xml:space="preserve">hazardous concentration for 5% of species</w:t>
      </w:r>
      <w:r>
        <w:rPr>
          <w:rFonts w:ascii="Arial" w:cs="Arial" w:eastAsia="Arial" w:hAnsi="Arial"/>
          <w:sz w:val="21"/>
          <w:szCs w:val="21"/>
        </w:rPr>
        <w:t xml:space="preserve">. At about this level, roughly 5% of aquatic species begin to be affected, based on the species sensitivity distribution (SSD) below. It is a second, higher warning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26"/>
      </w:tblGrid>
      <w:tr>
        <w:trPr>
          <w:tblHeader/>
        </w:trPr>
        <w:tc>
          <w:tcPr>
            <w:tcW w:type="dxa" w:w="2000"/>
            <w:tcBorders>
              <w:top w:val="single" w:color="BFBFBF" w:sz="4"/>
              <w:left w:val="single" w:color="BFBFBF" w:sz="4"/>
              <w:bottom w:val="single" w:color="BFBFBF" w:sz="4"/>
              <w:right w:val="single" w:color="BFBFBF" w:sz="4"/>
            </w:tcBorders>
            <w:shd w:fill="1F4E5A" w:color="auto" w:val="clear"/>
            <w:tcMar>
              <w:top w:type="dxa" w:w="60"/>
              <w:left w:type="dxa" w:w="100"/>
              <w:bottom w:type="dxa" w:w="60"/>
              <w:right w:type="dxa" w:w="100"/>
            </w:tcMar>
          </w:tcPr>
          <w:p>
            <w:r>
              <w:rPr>
                <w:rFonts w:ascii="Arial" w:cs="Arial" w:eastAsia="Arial" w:hAnsi="Arial"/>
                <w:b/>
                <w:bCs/>
                <w:color w:val="FFFFFF"/>
                <w:sz w:val="19"/>
                <w:szCs w:val="19"/>
              </w:rPr>
              <w:t xml:space="preserve">Concentration</w:t>
            </w:r>
          </w:p>
        </w:tc>
        <w:tc>
          <w:tcPr>
            <w:tcW w:type="dxa" w:w="1600"/>
            <w:tcBorders>
              <w:top w:val="single" w:color="BFBFBF" w:sz="4"/>
              <w:left w:val="single" w:color="BFBFBF" w:sz="4"/>
              <w:bottom w:val="single" w:color="BFBFBF" w:sz="4"/>
              <w:right w:val="single" w:color="BFBFBF" w:sz="4"/>
            </w:tcBorders>
            <w:shd w:fill="1F4E5A" w:color="auto" w:val="clear"/>
            <w:tcMar>
              <w:top w:type="dxa" w:w="60"/>
              <w:left w:type="dxa" w:w="100"/>
              <w:bottom w:type="dxa" w:w="60"/>
              <w:right w:type="dxa" w:w="100"/>
            </w:tcMar>
          </w:tcPr>
          <w:p>
            <w:r>
              <w:rPr>
                <w:rFonts w:ascii="Arial" w:cs="Arial" w:eastAsia="Arial" w:hAnsi="Arial"/>
                <w:b/>
                <w:bCs/>
                <w:color w:val="FFFFFF"/>
                <w:sz w:val="19"/>
                <w:szCs w:val="19"/>
              </w:rPr>
              <w:t xml:space="preserve">Name</w:t>
            </w:r>
          </w:p>
        </w:tc>
        <w:tc>
          <w:tcPr>
            <w:tcW w:type="dxa" w:w="5426"/>
            <w:tcBorders>
              <w:top w:val="single" w:color="BFBFBF" w:sz="4"/>
              <w:left w:val="single" w:color="BFBFBF" w:sz="4"/>
              <w:bottom w:val="single" w:color="BFBFBF" w:sz="4"/>
              <w:right w:val="single" w:color="BFBFBF" w:sz="4"/>
            </w:tcBorders>
            <w:shd w:fill="1F4E5A" w:color="auto" w:val="clear"/>
            <w:tcMar>
              <w:top w:type="dxa" w:w="60"/>
              <w:left w:type="dxa" w:w="100"/>
              <w:bottom w:type="dxa" w:w="60"/>
              <w:right w:type="dxa" w:w="100"/>
            </w:tcMar>
          </w:tcPr>
          <w:p>
            <w:r>
              <w:rPr>
                <w:rFonts w:ascii="Arial" w:cs="Arial" w:eastAsia="Arial" w:hAnsi="Arial"/>
                <w:b/>
                <w:bCs/>
                <w:color w:val="FFFFFF"/>
                <w:sz w:val="19"/>
                <w:szCs w:val="19"/>
              </w:rPr>
              <w:t xml:space="preserve">What it means</w:t>
            </w:r>
          </w:p>
        </w:tc>
      </w:tr>
      <w:tr>
        <w:tc>
          <w:tcPr>
            <w:tcW w:type="dxa" w:w="20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bCs/>
                <w:sz w:val="19"/>
                <w:szCs w:val="19"/>
              </w:rPr>
              <w:t xml:space="preserve">0.01 mg/L</w:t>
            </w:r>
          </w:p>
        </w:tc>
        <w:tc>
          <w:tcPr>
            <w:tcW w:type="dxa" w:w="16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bCs/>
                <w:sz w:val="19"/>
                <w:szCs w:val="19"/>
              </w:rPr>
              <w:t xml:space="preserve">PNEC</w:t>
            </w:r>
          </w:p>
        </w:tc>
        <w:tc>
          <w:tcPr>
            <w:tcW w:type="dxa" w:w="54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Decision line: no noticeable effect on aquatic life is expected below it</w:t>
            </w:r>
          </w:p>
        </w:tc>
      </w:tr>
      <w:tr>
        <w:tc>
          <w:tcPr>
            <w:tcW w:type="dxa" w:w="20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bCs/>
                <w:sz w:val="19"/>
                <w:szCs w:val="19"/>
              </w:rPr>
              <w:t xml:space="preserve">0.05 mg/L</w:t>
            </w:r>
          </w:p>
        </w:tc>
        <w:tc>
          <w:tcPr>
            <w:tcW w:type="dxa" w:w="1600"/>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bCs/>
                <w:sz w:val="19"/>
                <w:szCs w:val="19"/>
              </w:rPr>
              <w:t xml:space="preserve">HC5</w:t>
            </w:r>
          </w:p>
        </w:tc>
        <w:tc>
          <w:tcPr>
            <w:tcW w:type="dxa" w:w="5426"/>
            <w:tcBorders>
              <w:top w:val="single" w:color="BFBFBF" w:sz="4"/>
              <w:left w:val="single" w:color="BFBFBF" w:sz="4"/>
              <w:bottom w:val="single" w:color="BFBFBF" w:sz="4"/>
              <w:right w:val="single" w:color="BFBFBF" w:sz="4"/>
            </w:tcBorders>
            <w:shd w:fill="F7F7F5" w:color="auto"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Risk line: about 5% of species begin to be affected</w:t>
            </w:r>
          </w:p>
        </w:tc>
      </w:tr>
    </w:tbl>
    <w:p>
      <w:pPr>
        <w:pStyle w:val="Heading3"/>
        <w:spacing w:after="100" w:before="200"/>
      </w:pPr>
      <w:r>
        <w:rPr>
          <w:rFonts w:ascii="Arial" w:cs="Arial" w:eastAsia="Arial" w:hAnsi="Arial"/>
          <w:b/>
          <w:bCs/>
          <w:color w:val="0B0B0B"/>
          <w:sz w:val="23"/>
          <w:szCs w:val="23"/>
        </w:rPr>
        <w:t xml:space="preserve">6. How the HC5 is calculated</w:t>
      </w:r>
    </w:p>
    <w:p>
      <w:pPr>
        <w:spacing w:after="120"/>
      </w:pPr>
      <w:r>
        <w:drawing>
          <wp:inline distT="0" distB="0" distL="0" distR="0">
            <wp:extent cx="5715000" cy="2457450"/>
            <wp:effectExtent t="0" r="0" b="0" l="0"/>
            <wp:docPr id="1" name="Species sensitivity distribution" descr="Schematic S-shaped curve of the percentage of species affected against concentration on a log scale, with HC5 at 0.05 mg/L where the curve crosses 5%, and the PNEC at 0.01 mg/L, five times lower." title="Species sensitivit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57450"/>
                    </a:xfrm>
                    <a:prstGeom prst="rect">
                      <a:avLst/>
                    </a:prstGeom>
                  </pic:spPr>
                </pic:pic>
              </a:graphicData>
            </a:graphic>
          </wp:inline>
        </w:drawing>
      </w:r>
    </w:p>
    <w:p>
      <w:pPr>
        <w:pStyle w:val="ListParagraph"/>
        <w:numPr>
          <w:ilvl w:val="0"/>
          <w:numId w:val="2"/>
        </w:numPr>
        <w:spacing w:after="80"/>
      </w:pPr>
      <w:r>
        <w:rPr>
          <w:rFonts w:ascii="Arial" w:cs="Arial" w:eastAsia="Arial" w:hAnsi="Arial"/>
          <w:sz w:val="21"/>
          <w:szCs w:val="21"/>
        </w:rPr>
        <w:t xml:space="preserve">The study did not test just one fish. It collected test results for </w:t>
      </w:r>
      <w:r>
        <w:rPr>
          <w:rFonts w:ascii="Arial" w:cs="Arial" w:eastAsia="Arial" w:hAnsi="Arial"/>
          <w:b/>
          <w:bCs/>
          <w:sz w:val="21"/>
          <w:szCs w:val="21"/>
        </w:rPr>
        <w:t xml:space="preserve">55 aquatic species</w:t>
      </w:r>
      <w:r>
        <w:rPr>
          <w:rFonts w:ascii="Arial" w:cs="Arial" w:eastAsia="Arial" w:hAnsi="Arial"/>
          <w:sz w:val="21"/>
          <w:szCs w:val="21"/>
        </w:rPr>
        <w:t xml:space="preserve"> [1].</w:t>
      </w:r>
    </w:p>
    <w:p>
      <w:pPr>
        <w:pStyle w:val="ListParagraph"/>
        <w:numPr>
          <w:ilvl w:val="0"/>
          <w:numId w:val="2"/>
        </w:numPr>
        <w:spacing w:after="80"/>
      </w:pPr>
      <w:r>
        <w:rPr>
          <w:rFonts w:ascii="Arial" w:cs="Arial" w:eastAsia="Arial" w:hAnsi="Arial"/>
          <w:sz w:val="21"/>
          <w:szCs w:val="21"/>
        </w:rPr>
        <w:t xml:space="preserve">For each species it used the </w:t>
      </w:r>
      <w:r>
        <w:rPr>
          <w:rFonts w:ascii="Arial" w:cs="Arial" w:eastAsia="Arial" w:hAnsi="Arial"/>
          <w:b/>
          <w:bCs/>
          <w:sz w:val="21"/>
          <w:szCs w:val="21"/>
        </w:rPr>
        <w:t xml:space="preserve">EC10</w:t>
      </w:r>
      <w:r>
        <w:rPr>
          <w:rFonts w:ascii="Arial" w:cs="Arial" w:eastAsia="Arial" w:hAnsi="Arial"/>
          <w:sz w:val="21"/>
          <w:szCs w:val="21"/>
        </w:rPr>
        <w:t xml:space="preserve">: the concentration that causes a 10% effect in a lab test (for example, 10% less growth or reproduction).</w:t>
      </w:r>
    </w:p>
    <w:p>
      <w:pPr>
        <w:pStyle w:val="ListParagraph"/>
        <w:numPr>
          <w:ilvl w:val="0"/>
          <w:numId w:val="2"/>
        </w:numPr>
        <w:spacing w:after="80"/>
      </w:pPr>
      <w:r>
        <w:rPr>
          <w:rFonts w:ascii="Arial" w:cs="Arial" w:eastAsia="Arial" w:hAnsi="Arial"/>
          <w:sz w:val="21"/>
          <w:szCs w:val="21"/>
        </w:rPr>
        <w:t xml:space="preserve">The species are sorted from most sensitive to most tolerant and a curve is fitted through them. This curve is the </w:t>
      </w:r>
      <w:r>
        <w:rPr>
          <w:rFonts w:ascii="Arial" w:cs="Arial" w:eastAsia="Arial" w:hAnsi="Arial"/>
          <w:b/>
          <w:bCs/>
          <w:sz w:val="21"/>
          <w:szCs w:val="21"/>
        </w:rPr>
        <w:t xml:space="preserve">species sensitivity distribution (SSD)</w:t>
      </w:r>
      <w:r>
        <w:rPr>
          <w:rFonts w:ascii="Arial" w:cs="Arial" w:eastAsia="Arial" w:hAnsi="Arial"/>
          <w:sz w:val="21"/>
          <w:szCs w:val="21"/>
        </w:rPr>
        <w:t xml:space="preserve">.</w:t>
      </w:r>
    </w:p>
    <w:p>
      <w:pPr>
        <w:pStyle w:val="ListParagraph"/>
        <w:numPr>
          <w:ilvl w:val="0"/>
          <w:numId w:val="2"/>
        </w:numPr>
        <w:spacing w:after="80"/>
      </w:pPr>
      <w:r>
        <w:rPr>
          <w:rFonts w:ascii="Arial" w:cs="Arial" w:eastAsia="Arial" w:hAnsi="Arial"/>
          <w:sz w:val="21"/>
          <w:szCs w:val="21"/>
        </w:rPr>
        <w:t xml:space="preserve">The HC5 is the point where the curve crosses 5%: about 5% of species are affected at this level, and 95% are not.</w:t>
      </w:r>
    </w:p>
    <w:p>
      <w:pPr>
        <w:spacing w:after="120" w:before="60"/>
      </w:pPr>
      <w:r>
        <w:rPr>
          <w:rFonts w:ascii="Arial" w:cs="Arial" w:eastAsia="Arial" w:hAnsi="Arial"/>
          <w:b/>
          <w:bCs/>
          <w:sz w:val="21"/>
          <w:szCs w:val="21"/>
        </w:rPr>
        <w:t xml:space="preserve">Important: </w:t>
      </w:r>
      <w:r>
        <w:rPr>
          <w:rFonts w:ascii="Arial" w:cs="Arial" w:eastAsia="Arial" w:hAnsi="Arial"/>
          <w:sz w:val="21"/>
          <w:szCs w:val="21"/>
        </w:rPr>
        <w:t xml:space="preserve">HC5 = 0.05 mg/L does </w:t>
      </w:r>
      <w:r>
        <w:rPr>
          <w:rFonts w:ascii="Arial" w:cs="Arial" w:eastAsia="Arial" w:hAnsi="Arial"/>
          <w:b/>
          <w:bCs/>
          <w:sz w:val="21"/>
          <w:szCs w:val="21"/>
        </w:rPr>
        <w:t xml:space="preserve">not</w:t>
      </w:r>
      <w:r>
        <w:rPr>
          <w:rFonts w:ascii="Arial" w:cs="Arial" w:eastAsia="Arial" w:hAnsi="Arial"/>
          <w:sz w:val="21"/>
          <w:szCs w:val="21"/>
        </w:rPr>
        <w:t xml:space="preserve"> mean that all animals die at 0.05 mg/L. It is a statistical point on the curve, an ecotoxicological risk threshold.</w:t>
      </w:r>
    </w:p>
    <w:p>
      <w:pPr>
        <w:spacing w:after="120" w:before="60"/>
      </w:pPr>
      <w:r>
        <w:rPr>
          <w:rFonts w:ascii="Arial" w:cs="Arial" w:eastAsia="Arial" w:hAnsi="Arial"/>
          <w:i/>
          <w:iCs/>
          <w:color w:val="52514E"/>
          <w:sz w:val="19"/>
          <w:szCs w:val="19"/>
        </w:rPr>
        <w:t xml:space="preserve">The figure is a schematic: the curve shape is illustrative, and only the 0.01 and 0.05 mg/L values come from Albarano et al. (2025).</w:t>
      </w:r>
    </w:p>
    <w:p>
      <w:pPr>
        <w:pStyle w:val="Heading3"/>
        <w:spacing w:after="100" w:before="200"/>
      </w:pPr>
      <w:r>
        <w:rPr>
          <w:rFonts w:ascii="Arial" w:cs="Arial" w:eastAsia="Arial" w:hAnsi="Arial"/>
          <w:b/>
          <w:bCs/>
          <w:color w:val="0B0B0B"/>
          <w:sz w:val="23"/>
          <w:szCs w:val="23"/>
        </w:rPr>
        <w:t xml:space="preserve">7. Why the PNEC (0.01) is lower than the HC5 (0.05)</w:t>
      </w:r>
    </w:p>
    <w:p>
      <w:pPr>
        <w:spacing w:after="120" w:before="0"/>
      </w:pPr>
      <w:r>
        <w:rPr>
          <w:rFonts w:ascii="Arial" w:cs="Arial" w:eastAsia="Arial" w:hAnsi="Arial"/>
          <w:sz w:val="21"/>
          <w:szCs w:val="21"/>
        </w:rPr>
        <w:t xml:space="preserve">0.05 ÷ 5 = 0.01, so the PNEC is </w:t>
      </w:r>
      <w:r>
        <w:rPr>
          <w:rFonts w:ascii="Arial" w:cs="Arial" w:eastAsia="Arial" w:hAnsi="Arial"/>
          <w:b/>
          <w:bCs/>
          <w:sz w:val="21"/>
          <w:szCs w:val="21"/>
        </w:rPr>
        <w:t xml:space="preserve">5 times lower</w:t>
      </w:r>
      <w:r>
        <w:rPr>
          <w:rFonts w:ascii="Arial" w:cs="Arial" w:eastAsia="Arial" w:hAnsi="Arial"/>
          <w:sz w:val="21"/>
          <w:szCs w:val="21"/>
        </w:rPr>
        <w:t xml:space="preserve"> than the HC5. The PNEC is deliberately more conservative: it keeps a </w:t>
      </w:r>
      <w:r>
        <w:rPr>
          <w:rFonts w:ascii="Arial" w:cs="Arial" w:eastAsia="Arial" w:hAnsi="Arial"/>
          <w:b/>
          <w:bCs/>
          <w:sz w:val="21"/>
          <w:szCs w:val="21"/>
        </w:rPr>
        <w:t xml:space="preserve">safety margin</w:t>
      </w:r>
      <w:r>
        <w:rPr>
          <w:rFonts w:ascii="Arial" w:cs="Arial" w:eastAsia="Arial" w:hAnsi="Arial"/>
          <w:sz w:val="21"/>
          <w:szCs w:val="21"/>
        </w:rPr>
        <w:t xml:space="preserve">.</w:t>
      </w:r>
    </w:p>
    <w:p>
      <w:pPr>
        <w:spacing w:after="60" w:before="0"/>
      </w:pPr>
      <w:r>
        <w:rPr>
          <w:rFonts w:ascii="Arial" w:cs="Arial" w:eastAsia="Arial" w:hAnsi="Arial"/>
          <w:b/>
          <w:bCs/>
          <w:sz w:val="21"/>
          <w:szCs w:val="21"/>
        </w:rPr>
        <w:t xml:space="preserve">Why a safety margin is needed:</w:t>
      </w:r>
    </w:p>
    <w:p>
      <w:pPr>
        <w:pStyle w:val="ListParagraph"/>
        <w:numPr>
          <w:ilvl w:val="0"/>
          <w:numId w:val="2"/>
        </w:numPr>
        <w:spacing w:after="80"/>
      </w:pPr>
      <w:r>
        <w:rPr>
          <w:rFonts w:ascii="Arial" w:cs="Arial" w:eastAsia="Arial" w:hAnsi="Arial"/>
          <w:sz w:val="21"/>
          <w:szCs w:val="21"/>
        </w:rPr>
        <w:t xml:space="preserve">55 species is only a sample. Real rivers hold thousands of species, and the most sensitive one may never have been tested.</w:t>
      </w:r>
    </w:p>
    <w:p>
      <w:pPr>
        <w:pStyle w:val="ListParagraph"/>
        <w:numPr>
          <w:ilvl w:val="0"/>
          <w:numId w:val="2"/>
        </w:numPr>
        <w:spacing w:after="80"/>
      </w:pPr>
      <w:r>
        <w:rPr>
          <w:rFonts w:ascii="Arial" w:cs="Arial" w:eastAsia="Arial" w:hAnsi="Arial"/>
          <w:sz w:val="21"/>
          <w:szCs w:val="21"/>
        </w:rPr>
        <w:t xml:space="preserve">Lab tests are short and use clean water. Real rivers contain mixtures of medicines and other stresses (heat, low oxygen) at the same time.</w:t>
      </w:r>
    </w:p>
    <w:p>
      <w:pPr>
        <w:pStyle w:val="ListParagraph"/>
        <w:numPr>
          <w:ilvl w:val="0"/>
          <w:numId w:val="2"/>
        </w:numPr>
        <w:spacing w:after="80"/>
      </w:pPr>
      <w:r>
        <w:rPr>
          <w:rFonts w:ascii="Arial" w:cs="Arial" w:eastAsia="Arial" w:hAnsi="Arial"/>
          <w:sz w:val="21"/>
          <w:szCs w:val="21"/>
        </w:rPr>
        <w:t xml:space="preserve">EU risk-assessment guidance allows the HC5 from an SSD to be divided by a factor between 5 and 1 [12]. Albarano's values (0.05 → 0.01) sit at the most protective end, a factor of 5. The abstract does not name the factor; the ratio of the two values shows it.</w:t>
      </w:r>
    </w:p>
    <w:p>
      <w:pPr>
        <w:pStyle w:val="Heading2"/>
        <w:spacing w:after="120" w:before="260"/>
      </w:pPr>
      <w:r>
        <w:rPr>
          <w:rFonts w:ascii="Arial" w:cs="Arial" w:eastAsia="Arial" w:hAnsi="Arial"/>
          <w:b/>
          <w:bCs/>
          <w:color w:val="1F4E5A"/>
          <w:sz w:val="26"/>
          <w:szCs w:val="26"/>
        </w:rPr>
        <w:t xml:space="preserve">Note for Penang</w:t>
      </w:r>
    </w:p>
    <w:p>
      <w:pPr>
        <w:spacing w:after="120" w:before="0"/>
      </w:pPr>
      <w:r>
        <w:rPr>
          <w:rFonts w:ascii="Arial" w:cs="Arial" w:eastAsia="Arial" w:hAnsi="Arial"/>
          <w:sz w:val="21"/>
          <w:szCs w:val="21"/>
        </w:rPr>
        <w:t xml:space="preserve">Paracetamol has never been measured in Penang. The four USM theses (Khasawneh 2022, Teoh 2022, Sharifah 2023, Amir Irham 2024) measured atenolol, carbamazepine, diclofenac and ketoprofen only. The team's CenFac HPLC results will be the first Penang paracetamol data.</w:t>
      </w:r>
    </w:p>
    <w:p>
      <w:pPr>
        <w:pStyle w:val="Heading2"/>
        <w:spacing w:after="120" w:before="260"/>
      </w:pPr>
      <w:r>
        <w:rPr>
          <w:rFonts w:ascii="Arial" w:cs="Arial" w:eastAsia="Arial" w:hAnsi="Arial"/>
          <w:b/>
          <w:bCs/>
          <w:color w:val="1F4E5A"/>
          <w:sz w:val="26"/>
          <w:szCs w:val="26"/>
        </w:rPr>
        <w:t xml:space="preserve">Sources</w:t>
      </w:r>
    </w:p>
    <w:p>
      <w:pPr>
        <w:pStyle w:val="ListParagraph"/>
        <w:numPr>
          <w:ilvl w:val="0"/>
          <w:numId w:val="3"/>
        </w:numPr>
        <w:spacing w:after="80"/>
      </w:pPr>
      <w:r>
        <w:rPr>
          <w:rFonts w:ascii="Arial" w:cs="Arial" w:eastAsia="Arial" w:hAnsi="Arial"/>
          <w:sz w:val="18"/>
          <w:szCs w:val="18"/>
        </w:rPr>
        <w:t xml:space="preserve">Albarano L. et al. (2025). Environmental risk assessment of paracetamol in aquatic ecosystems using species sensitivity distribution and global occurrence data. Journal of Hazardous Materials. doi 10.1016/j.jhazmat.2025.140107 </w:t>
      </w:r>
      <w:hyperlink w:history="1" r:id="rIdo6tdfyu47kyfaivwsh7md">
        <w:r>
          <w:rPr>
            <w:rFonts w:ascii="Arial" w:cs="Arial" w:eastAsia="Arial" w:hAnsi="Arial"/>
            <w:color w:val="0563C1"/>
            <w:sz w:val="18"/>
            <w:szCs w:val="18"/>
            <w:u w:val="single"/>
          </w:rPr>
          <w:t xml:space="preserve">https://www.iris.unisa.it/handle/11386/4949119</w:t>
        </w:r>
      </w:hyperlink>
    </w:p>
    <w:p>
      <w:pPr>
        <w:pStyle w:val="ListParagraph"/>
        <w:numPr>
          <w:ilvl w:val="0"/>
          <w:numId w:val="3"/>
        </w:numPr>
        <w:spacing w:after="80"/>
      </w:pPr>
      <w:r>
        <w:rPr>
          <w:rFonts w:ascii="Arial" w:cs="Arial" w:eastAsia="Arial" w:hAnsi="Arial"/>
          <w:sz w:val="18"/>
          <w:szCs w:val="18"/>
        </w:rPr>
        <w:t xml:space="preserve">Environmental Sciences Europe (2024). Risk quotients based on the lowest long-term PNECs from the NORMAN database, Table 4. </w:t>
      </w:r>
      <w:hyperlink w:history="1" r:id="rId1q3bolbcw7dujyh5_8dc1">
        <w:r>
          <w:rPr>
            <w:rFonts w:ascii="Arial" w:cs="Arial" w:eastAsia="Arial" w:hAnsi="Arial"/>
            <w:color w:val="0563C1"/>
            <w:sz w:val="18"/>
            <w:szCs w:val="18"/>
            <w:u w:val="single"/>
          </w:rPr>
          <w:t xml:space="preserve">https://enveurope.springeropen.com/articles/10.1186/s12302-024-01015-3/tables/4</w:t>
        </w:r>
      </w:hyperlink>
    </w:p>
    <w:p>
      <w:pPr>
        <w:pStyle w:val="ListParagraph"/>
        <w:numPr>
          <w:ilvl w:val="0"/>
          <w:numId w:val="3"/>
        </w:numPr>
        <w:spacing w:after="80"/>
      </w:pPr>
      <w:r>
        <w:rPr>
          <w:rFonts w:ascii="Arial" w:cs="Arial" w:eastAsia="Arial" w:hAnsi="Arial"/>
          <w:sz w:val="18"/>
          <w:szCs w:val="18"/>
        </w:rPr>
        <w:t xml:space="preserve">Australian Guidelines for Water Recycling (2008), as listed in EPA Victoria (2023), Appendix A, Table 12. </w:t>
      </w:r>
      <w:hyperlink w:history="1" r:id="rId7wpsnhtqh4unmgw_-vicf">
        <w:r>
          <w:rPr>
            <w:rFonts w:ascii="Arial" w:cs="Arial" w:eastAsia="Arial" w:hAnsi="Arial"/>
            <w:color w:val="0563C1"/>
            <w:sz w:val="18"/>
            <w:szCs w:val="18"/>
            <w:u w:val="single"/>
          </w:rPr>
          <w:t xml:space="preserve">https://app.production.epa-vic-gov-au.sdp3.sdp.vic.gov.au/sites/default/files/epa/publications/appendix_a_emerging-contaminants-in-recycled-water_31may2023.pdf</w:t>
        </w:r>
      </w:hyperlink>
    </w:p>
    <w:p>
      <w:pPr>
        <w:pStyle w:val="ListParagraph"/>
        <w:numPr>
          <w:ilvl w:val="0"/>
          <w:numId w:val="3"/>
        </w:numPr>
        <w:spacing w:after="80"/>
      </w:pPr>
      <w:r>
        <w:rPr>
          <w:rFonts w:ascii="Arial" w:cs="Arial" w:eastAsia="Arial" w:hAnsi="Arial"/>
          <w:sz w:val="18"/>
          <w:szCs w:val="18"/>
        </w:rPr>
        <w:t xml:space="preserve">Minnesota Department of Health (2015). Toxicological summary for acetaminophen. </w:t>
      </w:r>
      <w:hyperlink w:history="1" r:id="rIdxdrsew70ikxvduh1mfjdo">
        <w:r>
          <w:rPr>
            <w:rFonts w:ascii="Arial" w:cs="Arial" w:eastAsia="Arial" w:hAnsi="Arial"/>
            <w:color w:val="0563C1"/>
            <w:sz w:val="18"/>
            <w:szCs w:val="18"/>
            <w:u w:val="single"/>
          </w:rPr>
          <w:t xml:space="preserve">https://www.health.mn.gov/communities/environment/risk/docs/guidance/dwec/sumacetamin.pdf</w:t>
        </w:r>
      </w:hyperlink>
    </w:p>
    <w:p>
      <w:pPr>
        <w:pStyle w:val="ListParagraph"/>
        <w:numPr>
          <w:ilvl w:val="0"/>
          <w:numId w:val="3"/>
        </w:numPr>
        <w:spacing w:after="80"/>
      </w:pPr>
      <w:r>
        <w:rPr>
          <w:rFonts w:ascii="Arial" w:cs="Arial" w:eastAsia="Arial" w:hAnsi="Arial"/>
          <w:sz w:val="18"/>
          <w:szCs w:val="18"/>
        </w:rPr>
        <w:t xml:space="preserve">US Water Quality Portal (USGS, EPA). AquaTrace analysis of 15,854 river site-days, 1999–2025. </w:t>
      </w:r>
      <w:hyperlink w:history="1" r:id="rIdebmpy5-u2l-drau43yzx_">
        <w:r>
          <w:rPr>
            <w:rFonts w:ascii="Arial" w:cs="Arial" w:eastAsia="Arial" w:hAnsi="Arial"/>
            <w:color w:val="0563C1"/>
            <w:sz w:val="18"/>
            <w:szCs w:val="18"/>
            <w:u w:val="single"/>
          </w:rPr>
          <w:t xml:space="preserve">https://www.waterqualitydata.us/</w:t>
        </w:r>
      </w:hyperlink>
    </w:p>
    <w:p>
      <w:pPr>
        <w:pStyle w:val="ListParagraph"/>
        <w:numPr>
          <w:ilvl w:val="0"/>
          <w:numId w:val="3"/>
        </w:numPr>
        <w:spacing w:after="80"/>
      </w:pPr>
      <w:r>
        <w:rPr>
          <w:rFonts w:ascii="Arial" w:cs="Arial" w:eastAsia="Arial" w:hAnsi="Arial"/>
          <w:sz w:val="18"/>
          <w:szCs w:val="18"/>
        </w:rPr>
        <w:t xml:space="preserve">Al-Odaini N.A. et al. (2013). The occurrence of human pharmaceuticals in wastewater effluents and surface water of Langat River and its tributaries, Malaysia. Int. J. Environmental Analytical Chemistry. </w:t>
      </w:r>
      <w:hyperlink w:history="1" r:id="rIdbmpya4lokrljwgxhb3m3-">
        <w:r>
          <w:rPr>
            <w:rFonts w:ascii="Arial" w:cs="Arial" w:eastAsia="Arial" w:hAnsi="Arial"/>
            <w:color w:val="0563C1"/>
            <w:sz w:val="18"/>
            <w:szCs w:val="18"/>
            <w:u w:val="single"/>
          </w:rPr>
          <w:t xml:space="preserve">https://www.ingentaconnect.com/content/tandf/geac/2013/00000093/00000003/art00001</w:t>
        </w:r>
      </w:hyperlink>
    </w:p>
    <w:p>
      <w:pPr>
        <w:pStyle w:val="ListParagraph"/>
        <w:numPr>
          <w:ilvl w:val="0"/>
          <w:numId w:val="3"/>
        </w:numPr>
        <w:spacing w:after="80"/>
      </w:pPr>
      <w:r>
        <w:rPr>
          <w:rFonts w:ascii="Arial" w:cs="Arial" w:eastAsia="Arial" w:hAnsi="Arial"/>
          <w:sz w:val="18"/>
          <w:szCs w:val="18"/>
        </w:rPr>
        <w:t xml:space="preserve">Al Qarni H. et al. (2016). Investigating the removal of some pharmaceutical compounds in hospital wastewater treatment plants operating in Saudi Arabia. Environmental Science and Pollution Research. </w:t>
      </w:r>
      <w:hyperlink w:history="1" r:id="rIdvxfdoeh_ws4udsbejmmin">
        <w:r>
          <w:rPr>
            <w:rFonts w:ascii="Arial" w:cs="Arial" w:eastAsia="Arial" w:hAnsi="Arial"/>
            <w:color w:val="0563C1"/>
            <w:sz w:val="18"/>
            <w:szCs w:val="18"/>
            <w:u w:val="single"/>
          </w:rPr>
          <w:t xml:space="preserve">https://link.springer.com/article/10.1007/s11356-016-6389-7</w:t>
        </w:r>
      </w:hyperlink>
    </w:p>
    <w:p>
      <w:pPr>
        <w:pStyle w:val="ListParagraph"/>
        <w:numPr>
          <w:ilvl w:val="0"/>
          <w:numId w:val="3"/>
        </w:numPr>
        <w:spacing w:after="80"/>
      </w:pPr>
      <w:r>
        <w:rPr>
          <w:rFonts w:ascii="Arial" w:cs="Arial" w:eastAsia="Arial" w:hAnsi="Arial"/>
          <w:sz w:val="18"/>
          <w:szCs w:val="18"/>
        </w:rPr>
        <w:t xml:space="preserve">Shipingana L.N.N. et al. (2022). Quantitative assessment of pharmaceutical drugs in a municipal wastewater and overview of associated risks. Applied Water Science. </w:t>
      </w:r>
      <w:hyperlink w:history="1" r:id="rIdrnsh2ztoonljatgwpwv5j">
        <w:r>
          <w:rPr>
            <w:rFonts w:ascii="Arial" w:cs="Arial" w:eastAsia="Arial" w:hAnsi="Arial"/>
            <w:color w:val="0563C1"/>
            <w:sz w:val="18"/>
            <w:szCs w:val="18"/>
            <w:u w:val="single"/>
          </w:rPr>
          <w:t xml:space="preserve">https://link.springer.com/article/10.1007/s13201-022-01570-1</w:t>
        </w:r>
      </w:hyperlink>
    </w:p>
    <w:p>
      <w:pPr>
        <w:pStyle w:val="ListParagraph"/>
        <w:numPr>
          <w:ilvl w:val="0"/>
          <w:numId w:val="3"/>
        </w:numPr>
        <w:spacing w:after="80"/>
      </w:pPr>
      <w:r>
        <w:rPr>
          <w:rFonts w:ascii="Arial" w:cs="Arial" w:eastAsia="Arial" w:hAnsi="Arial"/>
          <w:sz w:val="18"/>
          <w:szCs w:val="18"/>
        </w:rPr>
        <w:t xml:space="preserve">Kim P.-G. (2006). Ecotoxicological risk assessment for acetaminophen in Kyongahn River. Journal of Environmental Health Sciences. </w:t>
      </w:r>
      <w:hyperlink w:history="1" r:id="rIdch8avsgjotkaitzuke7hv">
        <w:r>
          <w:rPr>
            <w:rFonts w:ascii="Arial" w:cs="Arial" w:eastAsia="Arial" w:hAnsi="Arial"/>
            <w:color w:val="0563C1"/>
            <w:sz w:val="18"/>
            <w:szCs w:val="18"/>
            <w:u w:val="single"/>
          </w:rPr>
          <w:t xml:space="preserve">https://www.koreascience.or.kr/article/JAKO200604623620474.page?lang=en</w:t>
        </w:r>
      </w:hyperlink>
    </w:p>
    <w:p>
      <w:pPr>
        <w:pStyle w:val="ListParagraph"/>
        <w:numPr>
          <w:ilvl w:val="0"/>
          <w:numId w:val="3"/>
        </w:numPr>
        <w:spacing w:after="80"/>
      </w:pPr>
      <w:r>
        <w:rPr>
          <w:rFonts w:ascii="Arial" w:cs="Arial" w:eastAsia="Arial" w:hAnsi="Arial"/>
          <w:sz w:val="18"/>
          <w:szCs w:val="18"/>
        </w:rPr>
        <w:t xml:space="preserve">Nguyen T.D. et al. (2023). Simultaneous determination of paracetamol and diclofenac in wastewater by high-performance liquid chromatography method. Vietnam Journal of Science and Technology 61(4), 599–608. (HPLC-UV 243 nm, LOQ 0.01 mg/L.) </w:t>
      </w:r>
      <w:hyperlink w:history="1" r:id="rIdnb8s3euxfgomtxebomngl">
        <w:r>
          <w:rPr>
            <w:rFonts w:ascii="Arial" w:cs="Arial" w:eastAsia="Arial" w:hAnsi="Arial"/>
            <w:color w:val="0563C1"/>
            <w:sz w:val="18"/>
            <w:szCs w:val="18"/>
            <w:u w:val="single"/>
          </w:rPr>
          <w:t xml:space="preserve">https://vjs.ac.vn/jst/article/view/16418</w:t>
        </w:r>
      </w:hyperlink>
    </w:p>
    <w:p>
      <w:pPr>
        <w:pStyle w:val="ListParagraph"/>
        <w:numPr>
          <w:ilvl w:val="0"/>
          <w:numId w:val="3"/>
        </w:numPr>
        <w:spacing w:after="80"/>
      </w:pPr>
      <w:r>
        <w:rPr>
          <w:rFonts w:ascii="Arial" w:cs="Arial" w:eastAsia="Arial" w:hAnsi="Arial"/>
          <w:sz w:val="18"/>
          <w:szCs w:val="18"/>
        </w:rPr>
        <w:t xml:space="preserve">Sharma S. et al. (2013). Development and validation of a UV spectroscopic method for analysis of paracetamol in bulk powder and tablet. Oriental Journal of Chemistry. (Linear 2–24 mg/L.) </w:t>
      </w:r>
      <w:hyperlink w:history="1" r:id="rId-tyjhyboygp22xfx1wfxj">
        <w:r>
          <w:rPr>
            <w:rFonts w:ascii="Arial" w:cs="Arial" w:eastAsia="Arial" w:hAnsi="Arial"/>
            <w:color w:val="0563C1"/>
            <w:sz w:val="18"/>
            <w:szCs w:val="18"/>
            <w:u w:val="single"/>
          </w:rPr>
          <w:t xml:space="preserve">https://www.orientjchem.org/?p=11983</w:t>
        </w:r>
      </w:hyperlink>
    </w:p>
    <w:p>
      <w:pPr>
        <w:pStyle w:val="ListParagraph"/>
        <w:numPr>
          <w:ilvl w:val="0"/>
          <w:numId w:val="3"/>
        </w:numPr>
        <w:spacing w:after="80"/>
      </w:pPr>
      <w:r>
        <w:rPr>
          <w:rFonts w:ascii="Arial" w:cs="Arial" w:eastAsia="Arial" w:hAnsi="Arial"/>
          <w:sz w:val="18"/>
          <w:szCs w:val="18"/>
        </w:rPr>
        <w:t xml:space="preserve">EU Technical Guidance Document on Risk Assessment, assessment factors to derive PNEC freshwater: species sensitivity distribution method, factor 5–1, to be justified case by case (as presented by ISPRA). </w:t>
      </w:r>
      <w:hyperlink w:history="1" r:id="rIdsaiuvt_9suwjeepb4ugzo">
        <w:r>
          <w:rPr>
            <w:rFonts w:ascii="Arial" w:cs="Arial" w:eastAsia="Arial" w:hAnsi="Arial"/>
            <w:color w:val="0563C1"/>
            <w:sz w:val="18"/>
            <w:szCs w:val="18"/>
            <w:u w:val="single"/>
          </w:rPr>
          <w:t xml:space="preserve">https://www.isprambiente.gov.it/contentfiles/00001900/1903-c1984-m3-u1.pdf</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2514E"/>
        <w:sz w:val="16"/>
        <w:szCs w:val="16"/>
      </w:rPr>
      <w:t xml:space="preserve">Paracetamol in water · page </w:t>
    </w:r>
    <w:r>
      <w:rPr>
        <w:rFonts w:ascii="Arial" w:cs="Arial" w:eastAsia="Arial" w:hAnsi="Arial"/>
        <w:color w:val="5251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80" w:hanging="480"/>
      </w:pPr>
      <w:rPr>
        <w:rFonts w:ascii="Arial" w:cs="Arial" w:eastAsia="Arial" w:hAnsi="Arial"/>
        <w:sz w:val="18"/>
        <w:szCs w:val="1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o6tdfyu47kyfaivwsh7md" Type="http://schemas.openxmlformats.org/officeDocument/2006/relationships/hyperlink" Target="https://www.iris.unisa.it/handle/11386/4949119" TargetMode="External"/><Relationship Id="rId1q3bolbcw7dujyh5_8dc1" Type="http://schemas.openxmlformats.org/officeDocument/2006/relationships/hyperlink" Target="https://enveurope.springeropen.com/articles/10.1186/s12302-024-01015-3/tables/4" TargetMode="External"/><Relationship Id="rId7wpsnhtqh4unmgw_-vicf" Type="http://schemas.openxmlformats.org/officeDocument/2006/relationships/hyperlink" Target="https://app.production.epa-vic-gov-au.sdp3.sdp.vic.gov.au/sites/default/files/epa/publications/appendix_a_emerging-contaminants-in-recycled-water_31may2023.pdf" TargetMode="External"/><Relationship Id="rIdxdrsew70ikxvduh1mfjdo" Type="http://schemas.openxmlformats.org/officeDocument/2006/relationships/hyperlink" Target="https://www.health.mn.gov/communities/environment/risk/docs/guidance/dwec/sumacetamin.pdf" TargetMode="External"/><Relationship Id="rIdebmpy5-u2l-drau43yzx_" Type="http://schemas.openxmlformats.org/officeDocument/2006/relationships/hyperlink" Target="https://www.waterqualitydata.us/" TargetMode="External"/><Relationship Id="rIdbmpya4lokrljwgxhb3m3-" Type="http://schemas.openxmlformats.org/officeDocument/2006/relationships/hyperlink" Target="https://www.ingentaconnect.com/content/tandf/geac/2013/00000093/00000003/art00001" TargetMode="External"/><Relationship Id="rIdvxfdoeh_ws4udsbejmmin" Type="http://schemas.openxmlformats.org/officeDocument/2006/relationships/hyperlink" Target="https://link.springer.com/article/10.1007/s11356-016-6389-7" TargetMode="External"/><Relationship Id="rIdrnsh2ztoonljatgwpwv5j" Type="http://schemas.openxmlformats.org/officeDocument/2006/relationships/hyperlink" Target="https://link.springer.com/article/10.1007/s13201-022-01570-1" TargetMode="External"/><Relationship Id="rIdch8avsgjotkaitzuke7hv" Type="http://schemas.openxmlformats.org/officeDocument/2006/relationships/hyperlink" Target="https://www.koreascience.or.kr/article/JAKO200604623620474.page?lang=en" TargetMode="External"/><Relationship Id="rIdnb8s3euxfgomtxebomngl" Type="http://schemas.openxmlformats.org/officeDocument/2006/relationships/hyperlink" Target="https://vjs.ac.vn/jst/article/view/16418" TargetMode="External"/><Relationship Id="rId-tyjhyboygp22xfx1wfxj" Type="http://schemas.openxmlformats.org/officeDocument/2006/relationships/hyperlink" Target="https://www.orientjchem.org/?p=11983" TargetMode="External"/><Relationship Id="rIdsaiuvt_9suwjeepb4ugzo" Type="http://schemas.openxmlformats.org/officeDocument/2006/relationships/hyperlink" Target="https://www.isprambiente.gov.it/contentfiles/00001900/1903-c1984-m3-u1.pdf" TargetMode="External"/><Relationship Id="rId8" Type="http://schemas.openxmlformats.org/officeDocument/2006/relationships/image" Target="media/0c34cb55b0934ca8408bea6c60e71bfad408a3a1.png"/><Relationship Id="rId9" Type="http://schemas.openxmlformats.org/officeDocument/2006/relationships/image" Target="media/252c4382497768c528093bb0c6f4472ab00943bd.png"/><Relationship Id="rId10" Type="http://schemas.openxmlformats.org/officeDocument/2006/relationships/image" Target="media/5187c463685829de9cfe4a9e228da188d52b8964.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Paracetamol in water: how much is good vs bad?</dc:title>
  <dc:creator>AquaTrace team</dc:creator>
  <cp:lastModifiedBy>Un-named</cp:lastModifiedBy>
  <cp:revision>1</cp:revision>
  <dcterms:created xsi:type="dcterms:W3CDTF">2026-10-08T14:09:47.512Z</dcterms:created>
  <dcterms:modified xsi:type="dcterms:W3CDTF">2026-10-08T14:09:47.512Z</dcterms:modified>
</cp:coreProperties>
</file>

<file path=docProps/custom.xml><?xml version="1.0" encoding="utf-8"?>
<Properties xmlns="http://schemas.openxmlformats.org/officeDocument/2006/custom-properties" xmlns:vt="http://schemas.openxmlformats.org/officeDocument/2006/docPropsVTypes"/>
</file>