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TANYA THOURANI</w:t>
      </w:r>
    </w:p>
    <w:p>
      <w:pPr>
        <w:spacing w:after="200"/>
      </w:pPr>
      <w:r>
        <w:rPr>
          <w:rFonts w:ascii="Calibri" w:cs="Calibri" w:eastAsia="Calibri" w:hAnsi="Calibri"/>
          <w:sz w:val="22"/>
          <w:szCs w:val="22"/>
        </w:rPr>
        <w:t xml:space="preserve">thourani.tanya16@gmail.com | +44 79193 17061 | London, UK</w:t>
      </w:r>
    </w:p>
    <w:p>
      <w:pPr>
        <w:spacing w:after="200"/>
      </w:pPr>
      <w:r>
        <w:rPr>
          <w:rFonts w:ascii="Calibri" w:cs="Calibri" w:eastAsia="Calibri" w:hAnsi="Calibri"/>
          <w:sz w:val="22"/>
          <w:szCs w:val="22"/>
        </w:rPr>
        <w:t xml:space="preserve">Dear Profound Hiring Team,</w:t>
      </w:r>
    </w:p>
    <w:p>
      <w:pPr>
        <w:spacing w:after="200"/>
      </w:pPr>
      <w:r>
        <w:rPr>
          <w:rFonts w:ascii="Calibri" w:cs="Calibri" w:eastAsia="Calibri" w:hAnsi="Calibri"/>
          <w:sz w:val="22"/>
          <w:szCs w:val="22"/>
        </w:rPr>
        <w:t xml:space="preserve">At The Fintech Meetup, part of my current mandate is evaluating AI and deeptech investment opportunities alongside payments deals, which means getting fluent enough in how large language models and AI agents work to advise founders and investors credibly. That is close to what this role asks for: understanding a fast-moving technical space well enough to be a trusted advisor on it.</w:t>
      </w:r>
    </w:p>
    <w:p>
      <w:pPr>
        <w:spacing w:after="200"/>
      </w:pPr>
      <w:r>
        <w:rPr>
          <w:rFonts w:ascii="Calibri" w:cs="Calibri" w:eastAsia="Calibri" w:hAnsi="Calibri"/>
          <w:sz w:val="22"/>
          <w:szCs w:val="22"/>
        </w:rPr>
        <w:t xml:space="preserve">I'm writing to apply for the Engagement Manager, Mid-Market role, based in your London office. I bring 10 years of experience across EY, Capco, Barclays and The Fintech Meetup, combining Tier 1 consulting discipline, hands-on client relationship ownership and comfort working across ambiguous, technical and commercial problems at once.</w:t>
      </w:r>
    </w:p>
    <w:p>
      <w:pPr>
        <w:spacing w:after="200"/>
      </w:pPr>
      <w:r>
        <w:rPr>
          <w:rFonts w:ascii="Calibri" w:cs="Calibri" w:eastAsia="Calibri" w:hAnsi="Calibri"/>
          <w:sz w:val="22"/>
          <w:szCs w:val="22"/>
        </w:rPr>
        <w:t xml:space="preserve">Some of the most directly relevant experience includes: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900"/>
            <w:tcBorders>
              <w:top w:val="single" w:color="000000" w:sz="4"/>
              <w:left w:val="single" w:color="000000" w:sz="4"/>
              <w:bottom w:val="single" w:color="000000" w:sz="4"/>
              <w:right w:val="single" w:color="000000" w:sz="4"/>
            </w:tcBorders>
            <w:shd w:fill="D9D9D9" w:val="clear"/>
            <w:tcMar>
              <w:top w:type="dxa" w:w="100"/>
              <w:left w:type="dxa" w:w="100"/>
              <w:bottom w:type="dxa" w:w="100"/>
              <w:right w:type="dxa" w:w="100"/>
            </w:tcMar>
            <w:vAlign w:val="center"/>
          </w:tcPr>
          <w:p>
            <w:r>
              <w:rPr>
                <w:rFonts w:ascii="Calibri" w:cs="Calibri" w:eastAsia="Calibri" w:hAnsi="Calibri"/>
                <w:b/>
                <w:bCs/>
                <w:sz w:val="22"/>
                <w:szCs w:val="22"/>
              </w:rPr>
              <w:t xml:space="preserve">Your ask</w:t>
            </w:r>
          </w:p>
        </w:tc>
        <w:tc>
          <w:tcPr>
            <w:tcW w:type="dxa" w:w="1900"/>
            <w:tcBorders>
              <w:top w:val="single" w:color="000000" w:sz="4"/>
              <w:left w:val="single" w:color="000000" w:sz="4"/>
              <w:bottom w:val="single" w:color="000000" w:sz="4"/>
              <w:right w:val="single" w:color="000000" w:sz="4"/>
            </w:tcBorders>
            <w:shd w:fill="D9D9D9" w:val="clear"/>
            <w:tcMar>
              <w:top w:type="dxa" w:w="100"/>
              <w:left w:type="dxa" w:w="100"/>
              <w:bottom w:type="dxa" w:w="100"/>
              <w:right w:type="dxa" w:w="100"/>
            </w:tcMar>
            <w:vAlign w:val="center"/>
          </w:tcPr>
          <w:p>
            <w:r>
              <w:rPr>
                <w:rFonts w:ascii="Calibri" w:cs="Calibri" w:eastAsia="Calibri" w:hAnsi="Calibri"/>
                <w:b/>
                <w:bCs/>
                <w:sz w:val="22"/>
                <w:szCs w:val="22"/>
              </w:rPr>
              <w:t xml:space="preserve">My evidence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Own a portfolio of client relationships end to end, from onboarding through to measurable outcomes</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At EY, I served as the primary point of contact across Visa, Mastercard and UK Finance on a market-wide payments initiative, owning the relationship from initial engagement through to rollout decisions. At The Fintech Meetup, I currently manage 10+ live client relationships in parallel, from first engagement through to funding or partnership outcomes, adjusting my approach as each one develops.</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Multi-thread engagements to reduce risk from stakeholder turnover</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On the Click to Pay programme at EY, I coordinated more than 30 organisations, including issuers, PSPs, acquirers and merchants, building relationships across multiple contacts at each so that progress did not depend on any single stakeholder staying in their role.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Comfortable diving into challenges and operating in ambiguous environments</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have run live, fast-changing mandates across UK and India markets at once, re-prioritising as client and market timelines shift. At Barclays, I was fast-tracked into one of the function's youngest Project Manager roles for consistently bringing structure to ambiguous, cross-functional delivery problems.</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Strong analytical mindset, comfortable with quantitative data</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At EY, I surveyed 3,000 insurance customers and 200 industry professionals to build Adyen's GTM framework, and led a ten-year market study for UK Finance drawing on data from 30+ institutions. At The Fintech Meetup, I score acquisition and investment targets against financial readiness and strategic fit criteria.</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Own processes end to end with strong critical thinking</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At Capco, I led programme delivery for Deutsche Bank's Treasury function, building the governance, RAID logs and KPI tracking that took the programme through an ECB audit. At Barclays, I implemented delivery frameworks that materially improved scheduling, costing and quality assurance.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Collaborate across teams to resolve technical and commercial challenges</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co-led EY wavespace design workshops that aligned five or more senior leaders across strategy, marketing and product on a single roadmap, and regularly worked across business and technology stakeholders to keep matrixed delivery teams moving in the same direction.</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Experience in the search or marketing industry</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grew EY's Fintech ecosystem presence through 15+ events, including the Fintech Breakfasts and Payments Forum, and founded FinCuts, a Fintech content brand that has reached 11,000+ followers and over a million LinkedIn impressions.</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Deliver presentations and demonstrations effectively</w:t>
            </w:r>
          </w:p>
        </w:tc>
        <w:tc>
          <w:tcPr>
            <w:tcW w:type="dxa" w:w="7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presented findings from a ten-year UK Finance market study to senior leadership and working group members at the Houses of Parliament, and regularly run CXO-level workshops that translate technical detail into decisions senior stakeholders can act on.</w:t>
            </w:r>
          </w:p>
        </w:tc>
      </w:tr>
    </w:tbl>
    <w:p>
      <w:pPr>
        <w:spacing w:after="200"/>
      </w:pPr>
    </w:p>
    <w:p>
      <w:pPr>
        <w:spacing w:after="200"/>
      </w:pPr>
      <w:r>
        <w:rPr>
          <w:rFonts w:ascii="Calibri" w:cs="Calibri" w:eastAsia="Calibri" w:hAnsi="Calibri"/>
          <w:sz w:val="22"/>
          <w:szCs w:val="22"/>
        </w:rPr>
        <w:t xml:space="preserve">Across all of this, what I care about is whether a client relationship is actually working, not just whether the deck looks right. I would welcome the chance to bring that same standard to Profound's customer portfolio.</w:t>
      </w:r>
    </w:p>
    <w:p>
      <w:pPr>
        <w:spacing w:after="200"/>
      </w:pPr>
      <w:r>
        <w:rPr>
          <w:rFonts w:ascii="Calibri" w:cs="Calibri" w:eastAsia="Calibri" w:hAnsi="Calibri"/>
          <w:sz w:val="22"/>
          <w:szCs w:val="22"/>
        </w:rPr>
        <w:t xml:space="preserve">Thank you for your consideration.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2026-07-14T15:12:35.195Z</dcterms:created>
  <dcterms:modified xsi:type="dcterms:W3CDTF">2026-07-14T15:12:35.198Z</dcterms:modified>
</cp:coreProperties>
</file>

<file path=docProps/custom.xml><?xml version="1.0" encoding="utf-8"?>
<Properties xmlns="http://schemas.openxmlformats.org/officeDocument/2006/custom-properties" xmlns:vt="http://schemas.openxmlformats.org/officeDocument/2006/docPropsVTypes"/>
</file>