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BCG Hiring Team,</w:t>
      </w:r>
    </w:p>
    <w:p>
      <w:pPr>
        <w:spacing w:after="200"/>
      </w:pPr>
      <w:r>
        <w:rPr>
          <w:rFonts w:ascii="Calibri" w:cs="Calibri" w:eastAsia="Calibri" w:hAnsi="Calibri"/>
          <w:sz w:val="22"/>
          <w:szCs w:val="22"/>
        </w:rPr>
        <w:t xml:space="preserve">I’m excited to apply for the Global Sector Senior Manager – Payments &amp; Fintech role. Partnering closely with a sector leader to shape a strategic agenda, build the governance and operating rhythms that support it, and translate data and insights into decision-shaping action is exactly the kind of work I’ve built my career around.</w:t>
      </w:r>
    </w:p>
    <w:p>
      <w:pPr>
        <w:spacing w:after="200"/>
      </w:pPr>
      <w:r>
        <w:rPr>
          <w:rFonts w:ascii="Calibri" w:cs="Calibri" w:eastAsia="Calibri" w:hAnsi="Calibri"/>
          <w:sz w:val="22"/>
          <w:szCs w:val="22"/>
        </w:rPr>
        <w:t xml:space="preserve">Over the past decade, I’ve worked across EY, Capco, Barclays and, most recently, The Fintech Meetup, operating at the intersection of financial services strategy, governance and senior stakeholder management. At EY, I led a multi-scheme payments sector strategy initiative across Visa, Mastercard and UK Finance, partnering with the programme leadership team and establishing steering committee operating rhythms that translated fragmented stakeholder input into a clear North Star and commercial action plan – delivering client-ready PowerPoint materials for senior leadership audiences throughout. At Capco, I led programme delivery of an Intraday Liquidity Management capability for Deutsche Bank’s Treasury front office, establishing governance, budget tracking and KPI processes that secured audit closure and met European Central Bank commitments. With The Fintech Meetup, I monitor pipeline trends and investment priorities across a global investor network to drive deal execution and strategic funding outcomes.</w:t>
      </w:r>
    </w:p>
    <w:p>
      <w:pPr>
        <w:spacing w:after="200"/>
      </w:pPr>
      <w:r>
        <w:rPr>
          <w:rFonts w:ascii="Calibri" w:cs="Calibri" w:eastAsia="Calibri" w:hAnsi="Calibri"/>
          <w:sz w:val="22"/>
          <w:szCs w:val="22"/>
        </w:rPr>
        <w:t xml:space="preserve">I also bring strong experience building sector visibility and community engagement, work that maps closely to this role’s remit alongside Marketing and BCG Vantage. At EY, I built and activated the Fintech ecosystem through 15+ events, including Fintech Breakfasts, the Fintech Growth Programme and the Payments Forum, partnering with Marketing on publications and communications and hosting 2+ podcasts, while contributing as a subject matter resource to industry reports for Innovate Finance and The Regtech Association. At Capco, I founded the Fintech Connect and Fintech Friday webcast series, helping 1,000+ colleagues stay current on Fintech developments, and at Barclays I founded a Reverse Mentoring Programme that engaged 20+ Directors and 300+ colleagues – later adopted as a flagship leadership initiative.</w:t>
      </w:r>
    </w:p>
    <w:p>
      <w:pPr>
        <w:spacing w:after="200"/>
      </w:pPr>
      <w:r>
        <w:rPr>
          <w:rFonts w:ascii="Calibri" w:cs="Calibri" w:eastAsia="Calibri" w:hAnsi="Calibri"/>
          <w:sz w:val="22"/>
          <w:szCs w:val="22"/>
        </w:rPr>
        <w:t xml:space="preserve">What draws me to this role is the opportunity to bring structured thinking, governance discipline and stakeholder credibility to a sector at the intersection of finance, technology and global commerce. I’m comfortable operating in ambiguity, balancing multiple priorities independently, and handling sensitive business and organisational information with discretion, and I would welcome the opportunity to help shape and execute the Payments &amp; Fintech sector’s strategic agenda at BCG.</w:t>
      </w:r>
    </w:p>
    <w:p>
      <w:pPr>
        <w:spacing w:after="200"/>
      </w:pPr>
      <w:r>
        <w:rPr>
          <w:rFonts w:ascii="Calibri" w:cs="Calibri" w:eastAsia="Calibri" w:hAnsi="Calibri"/>
          <w:sz w:val="22"/>
          <w:szCs w:val="22"/>
        </w:rPr>
        <w:t xml:space="preserve">Thank you for your consideration –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2026-07-10T15:36:29.317Z</dcterms:created>
  <dcterms:modified xsi:type="dcterms:W3CDTF">2026-07-10T15:36:29.318Z</dcterms:modified>
</cp:coreProperties>
</file>

<file path=docProps/custom.xml><?xml version="1.0" encoding="utf-8"?>
<Properties xmlns="http://schemas.openxmlformats.org/officeDocument/2006/custom-properties" xmlns:vt="http://schemas.openxmlformats.org/officeDocument/2006/docPropsVTypes"/>
</file>