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sz w:val="28"/>
          <w:szCs w:val="28"/>
        </w:rPr>
        <w:t xml:space="preserve">TANYA THOURANI</w:t>
      </w:r>
    </w:p>
    <w:p>
      <w:pPr>
        <w:spacing w:after="200"/>
      </w:pPr>
      <w:r>
        <w:rPr>
          <w:rFonts w:ascii="Calibri" w:cs="Calibri" w:eastAsia="Calibri" w:hAnsi="Calibri"/>
          <w:sz w:val="22"/>
          <w:szCs w:val="22"/>
        </w:rPr>
        <w:t xml:space="preserve">thourani.tanya16@gmail.com | +44 79193 17061 | London, UK</w:t>
      </w:r>
    </w:p>
    <w:p>
      <w:pPr>
        <w:spacing w:after="200"/>
      </w:pPr>
      <w:r>
        <w:rPr>
          <w:rFonts w:ascii="Calibri" w:cs="Calibri" w:eastAsia="Calibri" w:hAnsi="Calibri"/>
          <w:sz w:val="22"/>
          <w:szCs w:val="22"/>
        </w:rPr>
        <w:t xml:space="preserve">Dear OpenAI Hiring Team,</w:t>
      </w:r>
    </w:p>
    <w:p>
      <w:pPr>
        <w:spacing w:after="200"/>
      </w:pPr>
      <w:r>
        <w:rPr>
          <w:rFonts w:ascii="Calibri" w:cs="Calibri" w:eastAsia="Calibri" w:hAnsi="Calibri"/>
          <w:sz w:val="22"/>
          <w:szCs w:val="22"/>
        </w:rPr>
        <w:t xml:space="preserve">Part of my current mandate at The Fintech Meetup is structuring capital raises and partnership pathways for AI, SaaS and cybersecurity startups, and evaluating which of them are actually ready to scale. That question, how you take fast-moving technology and get real organisations to adopt it, is the same one this role is built around, just at a different point in the value chain.</w:t>
      </w:r>
    </w:p>
    <w:p>
      <w:pPr>
        <w:spacing w:after="200"/>
      </w:pPr>
      <w:r>
        <w:rPr>
          <w:rFonts w:ascii="Calibri" w:cs="Calibri" w:eastAsia="Calibri" w:hAnsi="Calibri"/>
          <w:sz w:val="22"/>
          <w:szCs w:val="22"/>
        </w:rPr>
        <w:t xml:space="preserve">I'm writing to apply for the Head of GTM Partnerships, EMEA role. I bring 10 years of experience across EY, Capco, Barclays and The Fintech Meetup, almost all of it spent orchestrating ecosystems where the participants do not naturally agree: banks, PSPs, merchants, regulators and technology vendors with different incentives, brought into one plan that actually moves.</w:t>
      </w:r>
    </w:p>
    <w:p>
      <w:pPr>
        <w:spacing w:after="200"/>
      </w:pPr>
      <w:r>
        <w:rPr>
          <w:rFonts w:ascii="Calibri" w:cs="Calibri" w:eastAsia="Calibri" w:hAnsi="Calibri"/>
          <w:sz w:val="22"/>
          <w:szCs w:val="22"/>
        </w:rPr>
        <w:t xml:space="preserve">Some of the most directly relevant experience includes: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900"/>
            <w:tcBorders>
              <w:top w:val="single" w:color="000000" w:sz="4"/>
              <w:left w:val="single" w:color="000000" w:sz="4"/>
              <w:bottom w:val="single" w:color="000000" w:sz="4"/>
              <w:right w:val="single" w:color="000000" w:sz="4"/>
            </w:tcBorders>
            <w:shd w:fill="D9D9D9" w:val="clear"/>
            <w:tcMar>
              <w:top w:type="dxa" w:w="100"/>
              <w:left w:type="dxa" w:w="100"/>
              <w:bottom w:type="dxa" w:w="100"/>
              <w:right w:type="dxa" w:w="100"/>
            </w:tcMar>
            <w:vAlign w:val="center"/>
          </w:tcPr>
          <w:p>
            <w:r>
              <w:rPr>
                <w:rFonts w:ascii="Calibri" w:cs="Calibri" w:eastAsia="Calibri" w:hAnsi="Calibri"/>
                <w:b/>
                <w:bCs/>
                <w:sz w:val="22"/>
                <w:szCs w:val="22"/>
              </w:rPr>
              <w:t xml:space="preserve">Your ask</w:t>
            </w:r>
          </w:p>
        </w:tc>
        <w:tc>
          <w:tcPr>
            <w:tcW w:type="dxa" w:w="1900"/>
            <w:tcBorders>
              <w:top w:val="single" w:color="000000" w:sz="4"/>
              <w:left w:val="single" w:color="000000" w:sz="4"/>
              <w:bottom w:val="single" w:color="000000" w:sz="4"/>
              <w:right w:val="single" w:color="000000" w:sz="4"/>
            </w:tcBorders>
            <w:shd w:fill="D9D9D9" w:val="clear"/>
            <w:tcMar>
              <w:top w:type="dxa" w:w="100"/>
              <w:left w:type="dxa" w:w="100"/>
              <w:bottom w:type="dxa" w:w="100"/>
              <w:right w:type="dxa" w:w="100"/>
            </w:tcMar>
            <w:vAlign w:val="center"/>
          </w:tcPr>
          <w:p>
            <w:r>
              <w:rPr>
                <w:rFonts w:ascii="Calibri" w:cs="Calibri" w:eastAsia="Calibri" w:hAnsi="Calibri"/>
                <w:b/>
                <w:bCs/>
                <w:sz w:val="22"/>
                <w:szCs w:val="22"/>
              </w:rPr>
              <w:t xml:space="preserve">My evidence</w:t>
            </w:r>
          </w:p>
        </w:tc>
      </w:tr>
      <w:tr>
        <w:tc>
          <w:tcPr>
            <w:tcW w:type="dxa" w:w="19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r>
              <w:rPr>
                <w:rFonts w:ascii="Calibri" w:cs="Calibri" w:eastAsia="Calibri" w:hAnsi="Calibri"/>
                <w:b/>
                <w:bCs/>
                <w:sz w:val="22"/>
                <w:szCs w:val="22"/>
              </w:rPr>
              <w:t xml:space="preserve">Built and managed large-scale alliance programmes across multiple countries and markets</w:t>
            </w:r>
          </w:p>
        </w:tc>
        <w:tc>
          <w:tcPr>
            <w:tcW w:type="dxa" w:w="60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r>
              <w:rPr>
                <w:rFonts w:ascii="Calibri" w:cs="Calibri" w:eastAsia="Calibri" w:hAnsi="Calibri"/>
                <w:sz w:val="22"/>
                <w:szCs w:val="22"/>
              </w:rPr>
              <w:t xml:space="preserve">On the Click to Pay programme at EY, I coordinated an ecosystem of 30+ organisations at once, including issuers, PSPs and merchants with conflicting commercial interests, to secure cross-industry alignment. I also ran a 6-month Open Banking Future Outlook campaign across 12 countries, owning the end-to-end proposal and resourcing while supporting local teams in Canada, Argentina and Chile.</w:t>
            </w:r>
          </w:p>
        </w:tc>
      </w:tr>
      <w:tr>
        <w:tc>
          <w:tcPr>
            <w:tcW w:type="dxa" w:w="19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r>
              <w:rPr>
                <w:rFonts w:ascii="Calibri" w:cs="Calibri" w:eastAsia="Calibri" w:hAnsi="Calibri"/>
                <w:b/>
                <w:bCs/>
                <w:sz w:val="22"/>
                <w:szCs w:val="22"/>
              </w:rPr>
              <w:t xml:space="preserve">Experience working closely with consulting firms, financial institutions and enterprise customers</w:t>
            </w:r>
          </w:p>
        </w:tc>
        <w:tc>
          <w:tcPr>
            <w:tcW w:type="dxa" w:w="60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r>
              <w:rPr>
                <w:rFonts w:ascii="Calibri" w:cs="Calibri" w:eastAsia="Calibri" w:hAnsi="Calibri"/>
                <w:sz w:val="22"/>
                <w:szCs w:val="22"/>
              </w:rPr>
              <w:t xml:space="preserve">Ten years inside Tier 1 consulting, first at Capco then EY, delivering directly for enterprise clients including Deutsche Bank, Barclays, JPMorgan Chase and the Asian Development Bank. I understand how consulting firms structure delivery, price engagements and get technology adopted inside large organisations, because I have sat on that side of the table.</w:t>
            </w:r>
          </w:p>
        </w:tc>
      </w:tr>
      <w:tr>
        <w:tc>
          <w:tcPr>
            <w:tcW w:type="dxa" w:w="19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r>
              <w:rPr>
                <w:rFonts w:ascii="Calibri" w:cs="Calibri" w:eastAsia="Calibri" w:hAnsi="Calibri"/>
                <w:b/>
                <w:bCs/>
                <w:sz w:val="22"/>
                <w:szCs w:val="22"/>
              </w:rPr>
              <w:t xml:space="preserve">Comfortable operating with senior executives, including CEOs, Managing Partners, CIOs and CTOs</w:t>
            </w:r>
          </w:p>
        </w:tc>
        <w:tc>
          <w:tcPr>
            <w:tcW w:type="dxa" w:w="60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r>
              <w:rPr>
                <w:rFonts w:ascii="Calibri" w:cs="Calibri" w:eastAsia="Calibri" w:hAnsi="Calibri"/>
                <w:sz w:val="22"/>
                <w:szCs w:val="22"/>
              </w:rPr>
              <w:t xml:space="preserve">I reported directly to a Director and Partner while acting as primary point of contact across Visa, Mastercard and UK Finance. I presented a ten-year capital markets study to UK Finance leadership and representatives from JPMorgan, Credit Suisse, LBG and Barclays at the Houses of Parliament, and ran CXO-level workshops with insurers on Adyen's embedded payments strategy.</w:t>
            </w:r>
          </w:p>
        </w:tc>
      </w:tr>
      <w:tr>
        <w:tc>
          <w:tcPr>
            <w:tcW w:type="dxa" w:w="19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r>
              <w:rPr>
                <w:rFonts w:ascii="Calibri" w:cs="Calibri" w:eastAsia="Calibri" w:hAnsi="Calibri"/>
                <w:b/>
                <w:bCs/>
                <w:sz w:val="22"/>
                <w:szCs w:val="22"/>
              </w:rPr>
              <w:t xml:space="preserve">Experience supporting large-scale digital transformation and AI initiatives</w:t>
            </w:r>
          </w:p>
        </w:tc>
        <w:tc>
          <w:tcPr>
            <w:tcW w:type="dxa" w:w="60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r>
              <w:rPr>
                <w:rFonts w:ascii="Calibri" w:cs="Calibri" w:eastAsia="Calibri" w:hAnsi="Calibri"/>
                <w:sz w:val="22"/>
                <w:szCs w:val="22"/>
              </w:rPr>
              <w:t xml:space="preserve">At The Fintech Meetup, I structure $1M-$10M capital raises and partnership pathways for startups across AI, SaaS and cybersecurity, reviewing data rooms and building the investment thesis behind each deal. Earlier in my career I built payment messaging infrastructure as a software developer, so I can go a level deeper technically than most people coming from a pure strategy background.</w:t>
            </w:r>
          </w:p>
        </w:tc>
      </w:tr>
      <w:tr>
        <w:tc>
          <w:tcPr>
            <w:tcW w:type="dxa" w:w="19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r>
              <w:rPr>
                <w:rFonts w:ascii="Calibri" w:cs="Calibri" w:eastAsia="Calibri" w:hAnsi="Calibri"/>
                <w:b/>
                <w:bCs/>
                <w:sz w:val="22"/>
                <w:szCs w:val="22"/>
              </w:rPr>
              <w:t xml:space="preserve">Understands enterprise delivery models, consulting economics and how services organisations drive adoption</w:t>
            </w:r>
          </w:p>
        </w:tc>
        <w:tc>
          <w:tcPr>
            <w:tcW w:type="dxa" w:w="60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r>
              <w:rPr>
                <w:rFonts w:ascii="Calibri" w:cs="Calibri" w:eastAsia="Calibri" w:hAnsi="Calibri"/>
                <w:sz w:val="22"/>
                <w:szCs w:val="22"/>
              </w:rPr>
              <w:t xml:space="preserve">At Capco, I led programme delivery for Deutsche Bank's Treasury function, building the governance, RAID logs and KPI tracking that took the programme through an ECB audit. At Barclays, I was fast-tracked into one of the function's youngest Project Manager roles for consistently bringing structure to ambiguous delivery problems.</w:t>
            </w:r>
          </w:p>
        </w:tc>
      </w:tr>
      <w:tr>
        <w:tc>
          <w:tcPr>
            <w:tcW w:type="dxa" w:w="19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r>
              <w:rPr>
                <w:rFonts w:ascii="Calibri" w:cs="Calibri" w:eastAsia="Calibri" w:hAnsi="Calibri"/>
                <w:b/>
                <w:bCs/>
                <w:sz w:val="22"/>
                <w:szCs w:val="22"/>
              </w:rPr>
              <w:t xml:space="preserve">Track record of influencing cross-functional stakeholders without direct authority</w:t>
            </w:r>
          </w:p>
        </w:tc>
        <w:tc>
          <w:tcPr>
            <w:tcW w:type="dxa" w:w="60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r>
              <w:rPr>
                <w:rFonts w:ascii="Calibri" w:cs="Calibri" w:eastAsia="Calibri" w:hAnsi="Calibri"/>
                <w:sz w:val="22"/>
                <w:szCs w:val="22"/>
              </w:rPr>
              <w:t xml:space="preserve">I co-led EY wavespace design workshops that aligned 5+ senior leaders across strategy, marketing and product on a single roadmap, with no reporting line to any of them. That is also how I run things day to day at The Fintech Meetup, coordinating VCs, family offices, DFIs and corporates who have no obligation to answer to me.</w:t>
            </w:r>
          </w:p>
        </w:tc>
      </w:tr>
      <w:tr>
        <w:tc>
          <w:tcPr>
            <w:tcW w:type="dxa" w:w="19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r>
              <w:rPr>
                <w:rFonts w:ascii="Calibri" w:cs="Calibri" w:eastAsia="Calibri" w:hAnsi="Calibri"/>
                <w:b/>
                <w:bCs/>
                <w:sz w:val="22"/>
                <w:szCs w:val="22"/>
              </w:rPr>
              <w:t xml:space="preserve">Excels in ambiguous environments, balancing strategy with operational execution</w:t>
            </w:r>
          </w:p>
        </w:tc>
        <w:tc>
          <w:tcPr>
            <w:tcW w:type="dxa" w:w="60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r>
              <w:rPr>
                <w:rFonts w:ascii="Calibri" w:cs="Calibri" w:eastAsia="Calibri" w:hAnsi="Calibri"/>
                <w:sz w:val="22"/>
                <w:szCs w:val="22"/>
              </w:rPr>
              <w:t xml:space="preserve">I currently run live, fast-changing mandates across UK and India markets at once, re-prioritising as client and market timelines shift. That mirrors the earlier pattern at Barclays, where I was promoted ahead of peers specifically for bringing execution discipline to unstructured problems.</w:t>
            </w:r>
          </w:p>
        </w:tc>
      </w:tr>
    </w:tbl>
    <w:p>
      <w:pPr>
        <w:spacing w:after="200"/>
      </w:pPr>
    </w:p>
    <w:p>
      <w:pPr>
        <w:spacing w:after="200"/>
      </w:pPr>
      <w:r>
        <w:rPr>
          <w:rFonts w:ascii="Calibri" w:cs="Calibri" w:eastAsia="Calibri" w:hAnsi="Calibri"/>
          <w:sz w:val="22"/>
          <w:szCs w:val="22"/>
        </w:rPr>
        <w:t xml:space="preserve">What carries across every one of these roles is the same underlying skill: getting organisations with conflicting priorities to work toward one outcome, and making sure that progress does not stall when a single contact moves on. I would welcome the opportunity to bring that to building out OpenAI's partner ecosystem across Europe.</w:t>
      </w:r>
    </w:p>
    <w:p>
      <w:pPr>
        <w:spacing w:after="200"/>
      </w:pPr>
      <w:r>
        <w:rPr>
          <w:rFonts w:ascii="Calibri" w:cs="Calibri" w:eastAsia="Calibri" w:hAnsi="Calibri"/>
          <w:sz w:val="22"/>
          <w:szCs w:val="22"/>
        </w:rPr>
        <w:t xml:space="preserve">Thank you for your consideration. I look forward to the opportunity to discuss further.</w:t>
      </w:r>
    </w:p>
    <w:p>
      <w:pPr>
        <w:spacing w:after="200"/>
      </w:pPr>
      <w:r>
        <w:rPr>
          <w:rFonts w:ascii="Calibri" w:cs="Calibri" w:eastAsia="Calibri" w:hAnsi="Calibri"/>
          <w:sz w:val="22"/>
          <w:szCs w:val="22"/>
        </w:rPr>
        <w:t xml:space="preserve">Warm regards,</w:t>
      </w:r>
    </w:p>
    <w:p>
      <w:pPr>
        <w:spacing w:after="200"/>
      </w:pPr>
      <w:r>
        <w:rPr>
          <w:rFonts w:ascii="Calibri" w:cs="Calibri" w:eastAsia="Calibri" w:hAnsi="Calibri"/>
          <w:sz w:val="22"/>
          <w:szCs w:val="22"/>
        </w:rPr>
        <w:t xml:space="preserve">Tanya Thourani</w:t>
      </w:r>
    </w:p>
    <w:sectPr>
      <w:pgSz w:w="11906" w:h="16838" w:orient="portrait"/>
      <w:pgMar w:top="1440" w:right="1000" w:bottom="144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2026-07-14T15:59:30.886Z</dcterms:created>
  <dcterms:modified xsi:type="dcterms:W3CDTF">2026-07-14T15:59:30.886Z</dcterms:modified>
</cp:coreProperties>
</file>

<file path=docProps/custom.xml><?xml version="1.0" encoding="utf-8"?>
<Properties xmlns="http://schemas.openxmlformats.org/officeDocument/2006/custom-properties" xmlns:vt="http://schemas.openxmlformats.org/officeDocument/2006/docPropsVTypes"/>
</file>