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5E4C6D"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 xml:space="preserve">+44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121850A4"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by July end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 xml:space="preserve">Strategic &amp; Transformation Leadership | Payments &amp; Embedded Finance | Pricing, GTM &amp; Commercial Strategy</w:t>
      </w:r>
    </w:p>
    <w:p w14:paraId="1EAA509E" w14:textId="725D979D" w:rsidR="000B7B9B" w:rsidRDefault="000B7B9B" w:rsidP="00F25584">
      <w:pPr>
        <w:ind w:left="175"/>
        <w:jc w:val="left"/>
      </w:pPr>
      <w:r>
        <w:t xml:space="preserve">A seasoned FinTech strategist and commercial operator with over 10 years of experience across </w:t>
      </w:r>
      <w:r>
        <w:rPr>
          <w:b/>
          <w:bCs/>
        </w:rPr>
        <w:t>EY, Capco, Barclays and The FinTech Meetup</w:t>
      </w:r>
      <w:r>
        <w:t xml:space="preserve">, driving strategic planning, pricing strategy, and transformation across the Financial Services sector including payments, embedded finance, card issuing, and capital markets. With a strong foundation in consulting, she has worked closely with executive and Board-level stakeholders from global schemes and financial institutions to Fintech, trade bodies and investors across the UK and India to shape 3-year growth strategies, build financial models and business cases, and translate market opportunities into executable GTM and pricing initiatives. She has led complex, cross-functional transformation programmes, navigating stakeholders from product to compliance while delivering high impact outcomes in fast moving, regulated environments.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 xml:space="preserve">Financial services and Fintech strategy</w:t>
            </w:r>
          </w:p>
          <w:p w14:paraId="2DFF761A" w14:textId="764BD8B0" w:rsidR="000E314A" w:rsidRDefault="00F57F46">
            <w:pPr>
              <w:numPr>
                <w:ilvl w:val="0"/>
                <w:numId w:val="6"/>
              </w:numPr>
              <w:spacing w:after="30" w:line="244" w:lineRule="auto"/>
              <w:ind w:hanging="360"/>
              <w:jc w:val="left"/>
            </w:pPr>
            <w:r>
              <w:t xml:space="preserve">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 xml:space="preserve">Corporate finance, venture capital and ecosystem partnerships</w:t>
            </w:r>
          </w:p>
          <w:p w14:paraId="21CA0AE0" w14:textId="3AAA9BCB" w:rsidR="00F57F46" w:rsidRDefault="00F57F46">
            <w:pPr>
              <w:numPr>
                <w:ilvl w:val="0"/>
                <w:numId w:val="7"/>
              </w:numPr>
              <w:spacing w:after="0" w:line="259" w:lineRule="auto"/>
              <w:ind w:hanging="360"/>
              <w:jc w:val="left"/>
            </w:pPr>
            <w:r>
              <w:t xml:space="preserve">Business development and commercial strategy</w:t>
            </w:r>
          </w:p>
          <w:p w14:paraId="34867D33" w14:textId="6EDEB699" w:rsidR="000E314A" w:rsidRDefault="000E314A">
            <w:pPr>
              <w:numPr>
                <w:ilvl w:val="0"/>
                <w:numId w:val="7"/>
              </w:numPr>
              <w:spacing w:after="0" w:line="259" w:lineRule="auto"/>
              <w:ind w:hanging="360"/>
              <w:jc w:val="left"/>
            </w:pPr>
            <w:r>
              <w:t xml:space="preserve">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w:t>
            </w:r>
          </w:p>
          <w:p w14:paraId="45448882" w14:textId="3B89D188" w:rsidR="00F57F46" w:rsidRDefault="00F57F46" w:rsidP="00411E10">
            <w:pPr>
              <w:numPr>
                <w:ilvl w:val="0"/>
                <w:numId w:val="8"/>
              </w:numPr>
              <w:spacing w:after="0" w:line="259" w:lineRule="auto"/>
              <w:ind w:hanging="360"/>
              <w:jc w:val="left"/>
            </w:pPr>
            <w:r>
              <w:t xml:space="preserve">C-suite stakeholder engagement and partnership operator</w:t>
            </w:r>
          </w:p>
          <w:p w14:paraId="31381B35" w14:textId="76FD1D6F" w:rsidR="00407E2C" w:rsidRDefault="00407E2C" w:rsidP="00411E10">
            <w:pPr>
              <w:numPr>
                <w:ilvl w:val="0"/>
                <w:numId w:val="8"/>
              </w:numPr>
              <w:spacing w:after="0" w:line="259" w:lineRule="auto"/>
              <w:ind w:hanging="360"/>
              <w:jc w:val="left"/>
            </w:pPr>
            <w:r>
              <w:t>Performance tracking / KPIs</w:t>
            </w:r>
          </w:p>
          <w:p w14:paraId="34A13203" w14:textId="3EBF2252" w:rsidR="00F57F46" w:rsidRDefault="00F57F46" w:rsidP="00411E10">
            <w:pPr>
              <w:numPr>
                <w:ilvl w:val="0"/>
                <w:numId w:val="8"/>
              </w:numPr>
              <w:spacing w:after="0" w:line="259" w:lineRule="auto"/>
              <w:ind w:hanging="360"/>
              <w:jc w:val="left"/>
            </w:pPr>
            <w:r>
              <w:t xml:space="preserve">Programme delivery and cross functional leadership</w:t>
            </w:r>
          </w:p>
          <w:p w14:paraId="1778E432" w14:textId="0E8A333A" w:rsidR="00DE15C6" w:rsidRDefault="00F02696" w:rsidP="00411E10">
            <w:pPr>
              <w:numPr>
                <w:ilvl w:val="0"/>
                <w:numId w:val="8"/>
              </w:numPr>
              <w:spacing w:after="0" w:line="259" w:lineRule="auto"/>
              <w:ind w:hanging="360"/>
              <w:jc w:val="left"/>
            </w:pPr>
            <w:r>
              <w:t xml:space="preserve">Analytical communication &amp; senior stakeholder reporting</w:t>
            </w:r>
          </w:p>
          <w:p w14:paraId="1778E433" w14:textId="0E8A333B" w:rsidR="00DE15C6" w:rsidRDefault="00F02696" w:rsidP="00411E10">
            <w:pPr>
              <w:numPr>
                <w:ilvl w:val="0"/>
                <w:numId w:val="8"/>
              </w:numPr>
              <w:spacing w:after="0" w:line="259" w:lineRule="auto"/>
              <w:ind w:hanging="360"/>
              <w:jc w:val="left"/>
            </w:pPr>
            <w:r>
              <w:t xml:space="preserve">Pricing strategy, financial modelling &amp; 3-year business planning</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0B09ED77"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1DD86A8E"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 xml:space="preserve">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23C9878" w:rsidR="00D01558" w:rsidRPr="002B047C" w:rsidRDefault="008304EF" w:rsidP="00287FAC">
      <w:pPr>
        <w:numPr>
          <w:ilvl w:val="0"/>
          <w:numId w:val="2"/>
        </w:numPr>
        <w:ind w:hanging="360"/>
        <w:jc w:val="left"/>
      </w:pPr>
      <w:r>
        <w:t xml:space="preserve">Originated Investment Banking mandates ($1–10M funding rounds) across the Fintech, payments and SaaS sector, advising 10+ startups and corporates on capital raises, M&amp;A opportunities, and strategic partnerships.</w:t>
      </w:r>
    </w:p>
    <w:p w14:paraId="766E83D8" w14:textId="0C2AC951" w:rsidR="008304EF" w:rsidRPr="002B047C" w:rsidRDefault="00C24AF8" w:rsidP="00287FAC">
      <w:pPr>
        <w:numPr>
          <w:ilvl w:val="0"/>
          <w:numId w:val="2"/>
        </w:numPr>
        <w:ind w:hanging="360"/>
        <w:jc w:val="left"/>
      </w:pPr>
      <w:r>
        <w:t xml:space="preserve">Built a global investor network including venture capital funds, family offices, development finance institutions (DFIs), and corporate venture capital (CVC) investment arms of financial services and technology across the UK and India to drive pipeline development, deal execution and strategic funding outcomes.</w:t>
      </w:r>
    </w:p>
    <w:p w14:paraId="3AB447C8" w14:textId="3D7C4732" w:rsidR="00C2350F" w:rsidRPr="002B047C" w:rsidRDefault="00C2350F" w:rsidP="00287FAC">
      <w:pPr>
        <w:numPr>
          <w:ilvl w:val="0"/>
          <w:numId w:val="2"/>
        </w:numPr>
        <w:ind w:hanging="360"/>
        <w:jc w:val="left"/>
        <w:rPr>
          <w:color w:val="467886" w:themeColor="hyperlink"/>
          <w:u w:val="single"/>
        </w:rPr>
      </w:pPr>
      <w:r>
        <w:t xml:space="preserve">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 xml:space="preserve">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 xml:space="preserve">Client: Visa &amp; Mastercard</w:t>
      </w:r>
    </w:p>
    <w:p w14:paraId="455FE178" w14:textId="6C4057E4" w:rsidR="004D4DCD" w:rsidRPr="004D4DCD" w:rsidRDefault="004D4DCD" w:rsidP="00287FAC">
      <w:pPr>
        <w:numPr>
          <w:ilvl w:val="0"/>
          <w:numId w:val="2"/>
        </w:numPr>
        <w:ind w:hanging="360"/>
        <w:jc w:val="left"/>
      </w:pPr>
      <w:r>
        <w:t xml:space="preserve">Led a multi-scheme payments GTM initiative across Visa, Mastercard, and UK Finance, and managing multi-stakeholder engagement (5+ issuers, 10–12 PSPs/acquirers, 10–15 merchants) on adoption roadmap and GTM priorities.</w:t>
      </w:r>
    </w:p>
    <w:p w14:paraId="2715317A" w14:textId="114B990C" w:rsidR="00DE15C6" w:rsidRDefault="004D4DCD" w:rsidP="00287FAC">
      <w:pPr>
        <w:numPr>
          <w:ilvl w:val="0"/>
          <w:numId w:val="2"/>
        </w:numPr>
        <w:ind w:hanging="360"/>
        <w:jc w:val="left"/>
      </w:pPr>
      <w:r>
        <w:lastRenderedPageBreak/>
        <w:t xml:space="preserve">Drove 4+ intensive industry sprints and steering committees, translating fragmented stakeholder inputs into a clear North Star and a commercial action plan, directly influencing market-wide rollout strategy.</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 xml:space="preserve">client ready materials (presentations, steering committee memos, executive packs)</w:t>
      </w:r>
      <w:r>
        <w:t xml:space="preserve"> used by senior stakeholders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 xml:space="preserve">Co-led design and delivery of an EY x Adyen strategy development engagement for embedded payments use cases in insurance, shaping agenda, materials, and stakeholder alignment (10+ senior contributors across Payments, Fintech, and Insurance), and facilitating CXO-level workshops with leading UK insurers that informed Adyen’s go-to-market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xml:space="preserve">,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xml:space="preserve">,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xml:space="preserve">’ at the Houses of Parliament.</w:t>
      </w:r>
    </w:p>
    <w:p w14:paraId="35BE355C" w14:textId="6C1E7CE5" w:rsidR="00DB68E7" w:rsidRDefault="00DB68E7" w:rsidP="00DB68E7">
      <w:pPr>
        <w:numPr>
          <w:ilvl w:val="0"/>
          <w:numId w:val="2"/>
        </w:numPr>
        <w:ind w:hanging="360"/>
        <w:jc w:val="left"/>
      </w:pPr>
      <w:r>
        <w:t xml:space="preserve">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expanding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 xml:space="preserve">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through 15+ events, including Fintech Breakfasts, the Fintech Growth Programme, and the Payments Forum, while hosting 2+ podcasts to enhance the Fintech team's brand presence.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xml:space="preserve">’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 xml:space="preserve">Led programme delivery of an Intraday Liquidity Management capability for Treasury front office, establishing governance, RAIDs, KPIs, and operating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 xml:space="preserve">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7652AFB1" w14:textId="51DC4669" w:rsidR="00615294" w:rsidRDefault="00AF7391" w:rsidP="004F30CA">
      <w:pPr>
        <w:numPr>
          <w:ilvl w:val="0"/>
          <w:numId w:val="3"/>
        </w:numPr>
        <w:ind w:hanging="360"/>
        <w:jc w:val="left"/>
      </w:pPr>
      <w:r>
        <w:t xml:space="preserve">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 xml:space="preserve">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1C9E9C88" w14:textId="089FBFA4" w:rsidR="00427C3F" w:rsidRPr="00427C3F" w:rsidRDefault="00427C3F" w:rsidP="004F30CA">
      <w:pPr>
        <w:numPr>
          <w:ilvl w:val="0"/>
          <w:numId w:val="3"/>
        </w:numPr>
        <w:ind w:hanging="360"/>
        <w:jc w:val="left"/>
      </w:pPr>
      <w:r>
        <w:t xml:space="preserve">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 ‘15 – JUL ‘19</w:t>
      </w:r>
    </w:p>
    <w:p w14:paraId="34D7E949" w14:textId="1195E6F3" w:rsidR="00DE15C6" w:rsidRPr="00A13B2F" w:rsidRDefault="009B689E">
      <w:pPr>
        <w:spacing w:after="5" w:line="259" w:lineRule="auto"/>
        <w:ind w:left="175"/>
        <w:jc w:val="left"/>
        <w:rPr>
          <w:b/>
          <w:sz w:val="20"/>
        </w:rPr>
      </w:pPr>
      <w:r>
        <w:rPr>
          <w:b/>
          <w:sz w:val="20"/>
        </w:rPr>
        <w:t xml:space="preserve">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 xml:space="preserve">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 xml:space="preserve">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080BC173"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 xml:space="preserve">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 xml:space="preserve">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D64ABE2"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 xml:space="preserve">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xml:space="preserve">.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xml:space="preserve">,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 xml:space="preserve">’s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C352E7A"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97FB8"/>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5E4C6D"/>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5094"/>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1F8"/>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3CEA9-CB25-494C-8EBD-99CB90322CC2}">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6</cp:revision>
  <cp:lastPrinted>2026-06-09T15:02:00Z</cp:lastPrinted>
  <dcterms:created xsi:type="dcterms:W3CDTF">2026-06-09T15:00:00Z</dcterms:created>
  <dcterms:modified xsi:type="dcterms:W3CDTF">2026-06-09T15:06:00Z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