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5E4C6D"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 xml:space="preserve">+44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121850A4"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by July end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 xml:space="preserve">Audience &amp; Community Engagement | Event Portfolio Strategy | Senior Investor &amp; Stakeholder Relationship Management</w:t>
      </w:r>
    </w:p>
    <w:p w14:paraId="1EAA509E" w14:textId="725D979D" w:rsidR="000B7B9B" w:rsidRDefault="000B7B9B" w:rsidP="00F25584">
      <w:pPr>
        <w:ind w:left="175"/>
        <w:jc w:val="left"/>
      </w:pPr>
      <w:r>
        <w:t xml:space="preserve">A seasoned FinTech strategist and commercial operator with over 10 years of experience across </w:t>
      </w:r>
      <w:r>
        <w:rPr>
          <w:b/>
          <w:bCs/>
        </w:rPr>
        <w:t>EY, Capco, Barclays and The FinTech Meetup</w:t>
      </w:r>
      <w:r>
        <w:t xml:space="preserve">, building and engaging senior audiences, investor networks, and communities across the Financial Services sector including payments, capital markets, open banking, and embedded finance. With a strong foundation in consulting, she has built and activated ecosystems of 15+ events, global investor networks, and multi-thousand-member communities, cultivating trusted relationships with senior investors, institutional stakeholders and industry leaders across the UK and India to drive engagement, retention and commercial growth. She has led complex, cross-functional engagement programmes, navigating stakeholders from content to commercial teams while delivering high impact outcomes in fast moving environments.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 xml:space="preserve">Financial services and Fintech strategy</w:t>
            </w:r>
          </w:p>
          <w:p w14:paraId="2DFF761A" w14:textId="764BD8B0" w:rsidR="000E314A" w:rsidRDefault="00F57F46">
            <w:pPr>
              <w:numPr>
                <w:ilvl w:val="0"/>
                <w:numId w:val="6"/>
              </w:numPr>
              <w:spacing w:after="30" w:line="244" w:lineRule="auto"/>
              <w:ind w:hanging="360"/>
              <w:jc w:val="left"/>
            </w:pPr>
            <w:r>
              <w:t xml:space="preserve">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 xml:space="preserve">Corporate finance, venture capital and ecosystem partnerships</w:t>
            </w:r>
          </w:p>
          <w:p w14:paraId="21CA0AE0" w14:textId="3AAA9BCB" w:rsidR="00F57F46" w:rsidRDefault="00F57F46">
            <w:pPr>
              <w:numPr>
                <w:ilvl w:val="0"/>
                <w:numId w:val="7"/>
              </w:numPr>
              <w:spacing w:after="0" w:line="259" w:lineRule="auto"/>
              <w:ind w:hanging="360"/>
              <w:jc w:val="left"/>
            </w:pPr>
            <w:r>
              <w:t xml:space="preserve">Business development and commercial strategy</w:t>
            </w:r>
          </w:p>
          <w:p w14:paraId="34867D33" w14:textId="6EDEB699" w:rsidR="000E314A" w:rsidRDefault="000E314A">
            <w:pPr>
              <w:numPr>
                <w:ilvl w:val="0"/>
                <w:numId w:val="7"/>
              </w:numPr>
              <w:spacing w:after="0" w:line="259" w:lineRule="auto"/>
              <w:ind w:hanging="360"/>
              <w:jc w:val="left"/>
            </w:pPr>
            <w:r>
              <w:t xml:space="preserve">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 xml:space="preserve">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 xml:space="preserve">Programme delivery and cross functional leadership</w:t>
            </w:r>
          </w:p>
          <w:p w14:paraId="1778E432" w14:textId="0E8A333A" w:rsidR="00DE15C6" w:rsidRDefault="00F02696" w:rsidP="00411E10">
            <w:pPr>
              <w:numPr>
                <w:ilvl w:val="0"/>
                <w:numId w:val="8"/>
              </w:numPr>
              <w:spacing w:after="0" w:line="259" w:lineRule="auto"/>
              <w:ind w:hanging="360"/>
              <w:jc w:val="left"/>
            </w:pPr>
            <w:r>
              <w:t xml:space="preserve">Analytical communication &amp; senior stakeholder reporting</w:t>
            </w:r>
          </w:p>
          <w:p w14:paraId="1778E435" w14:textId="0E8A333D" w:rsidR="00DE15C6" w:rsidRDefault="00F02696" w:rsidP="00411E10">
            <w:pPr>
              <w:numPr>
                <w:ilvl w:val="0"/>
                <w:numId w:val="8"/>
              </w:numPr>
              <w:spacing w:after="0" w:line="259" w:lineRule="auto"/>
              <w:ind w:hanging="360"/>
              <w:jc w:val="left"/>
            </w:pPr>
            <w:r>
              <w:t xml:space="preserve">Community &amp; event portfolio building; delegate/investor engagement</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0B09ED77"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1DD86A8E"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 xml:space="preserve">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23C9878" w:rsidR="00D01558" w:rsidRPr="002B047C" w:rsidRDefault="008304EF" w:rsidP="00287FAC">
      <w:pPr>
        <w:numPr>
          <w:ilvl w:val="0"/>
          <w:numId w:val="2"/>
        </w:numPr>
        <w:ind w:hanging="360"/>
        <w:jc w:val="left"/>
      </w:pPr>
      <w:r>
        <w:t xml:space="preserve">Originated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 xml:space="preserve">Built a global investor network including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3D7C4732" w:rsidR="00C2350F" w:rsidRPr="002B047C" w:rsidRDefault="00C2350F" w:rsidP="00287FAC">
      <w:pPr>
        <w:numPr>
          <w:ilvl w:val="0"/>
          <w:numId w:val="2"/>
        </w:numPr>
        <w:ind w:hanging="360"/>
        <w:jc w:val="left"/>
        <w:rPr>
          <w:color w:val="467886" w:themeColor="hyperlink"/>
          <w:u w:val="single"/>
        </w:rPr>
      </w:pPr>
      <w:r>
        <w:t xml:space="preserve">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 xml:space="preserve">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 xml:space="preserve">Client: Visa &amp; Mastercard</w:t>
      </w:r>
    </w:p>
    <w:p w14:paraId="455FE178" w14:textId="6C4057E4" w:rsidR="004D4DCD" w:rsidRPr="004D4DCD" w:rsidRDefault="004D4DCD" w:rsidP="00287FAC">
      <w:pPr>
        <w:numPr>
          <w:ilvl w:val="0"/>
          <w:numId w:val="2"/>
        </w:numPr>
        <w:ind w:hanging="360"/>
        <w:jc w:val="left"/>
      </w:pPr>
      <w:r>
        <w:t xml:space="preserve">Led a multi-scheme payments GTM initiative across Visa, Mastercard, and UK Finance, and managing multi-stakeholder engagement (5+ issuers, 10–12 PSPs/acquirers, 10–15 merchants) on adoption roadmap and GTM priorities.</w:t>
      </w:r>
    </w:p>
    <w:p w14:paraId="2715317A" w14:textId="114B990C" w:rsidR="00DE15C6" w:rsidRDefault="004D4DCD" w:rsidP="00287FAC">
      <w:pPr>
        <w:numPr>
          <w:ilvl w:val="0"/>
          <w:numId w:val="2"/>
        </w:numPr>
        <w:ind w:hanging="360"/>
        <w:jc w:val="left"/>
      </w:pPr>
      <w:r>
        <w:lastRenderedPageBreak/>
        <w:t xml:space="preserve">Drove 4+ intensive industry sprints and steering committees,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 xml:space="preserve">client ready materials (presentations,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 xml:space="preserve">Co-led design and delivery of an EY x Adyen strategy development engagement for embedded payments use cases in insurance, shaping agenda, materials, and stakeholder alignment (10+ senior contributors across Payments, Fintech, and Insurance), and facilitating CXO-level workshops with leading UK insurers that informed Adyen’s go-to-market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xml:space="preserve">,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xml:space="preserve">,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xml:space="preserve">’ at the Houses of Parliament.</w:t>
      </w:r>
    </w:p>
    <w:p w14:paraId="35BE355C" w14:textId="6C1E7CE5" w:rsidR="00DB68E7" w:rsidRDefault="00DB68E7" w:rsidP="00DB68E7">
      <w:pPr>
        <w:numPr>
          <w:ilvl w:val="0"/>
          <w:numId w:val="2"/>
        </w:numPr>
        <w:ind w:hanging="360"/>
        <w:jc w:val="left"/>
      </w:pPr>
      <w:r>
        <w:t xml:space="preserve">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 xml:space="preserve">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including Fintech Breakfasts, the Fintech Growth Programme, and the Payments Forum, while hosting 2+ podcasts to enhance the Fintech team's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xml:space="preserve">’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 xml:space="preserve">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 xml:space="preserve">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7652AFB1" w14:textId="51DC4669" w:rsidR="00615294" w:rsidRDefault="00AF7391" w:rsidP="004F30CA">
      <w:pPr>
        <w:numPr>
          <w:ilvl w:val="0"/>
          <w:numId w:val="3"/>
        </w:numPr>
        <w:ind w:hanging="360"/>
        <w:jc w:val="left"/>
      </w:pPr>
      <w:r>
        <w:t xml:space="preserve">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 xml:space="preserve">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1C9E9C88" w14:textId="089FBFA4" w:rsidR="00427C3F" w:rsidRPr="00427C3F" w:rsidRDefault="00427C3F" w:rsidP="004F30CA">
      <w:pPr>
        <w:numPr>
          <w:ilvl w:val="0"/>
          <w:numId w:val="3"/>
        </w:numPr>
        <w:ind w:hanging="360"/>
        <w:jc w:val="left"/>
      </w:pPr>
      <w:r>
        <w:t xml:space="preserve">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 ‘15 – JUL ‘19</w:t>
      </w:r>
    </w:p>
    <w:p w14:paraId="34D7E949" w14:textId="1195E6F3" w:rsidR="00DE15C6" w:rsidRPr="00A13B2F" w:rsidRDefault="009B689E">
      <w:pPr>
        <w:spacing w:after="5" w:line="259" w:lineRule="auto"/>
        <w:ind w:left="175"/>
        <w:jc w:val="left"/>
        <w:rPr>
          <w:b/>
          <w:sz w:val="20"/>
        </w:rPr>
      </w:pPr>
      <w:r>
        <w:rPr>
          <w:b/>
          <w:sz w:val="20"/>
        </w:rPr>
        <w:t xml:space="preserve">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 xml:space="preserve">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 xml:space="preserve">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080BC173"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 xml:space="preserve">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 xml:space="preserve">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D64ABE2"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 xml:space="preserve">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xml:space="preserve">.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xml:space="preserve">,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 xml:space="preserve">’s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C352E7A"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97FB8"/>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5E4C6D"/>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5094"/>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1F8"/>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6</cp:revision>
  <cp:lastPrinted>2026-06-09T15:02:00Z</cp:lastPrinted>
  <dcterms:created xsi:type="dcterms:W3CDTF">2026-06-09T15:00:00Z</dcterms:created>
  <dcterms:modified xsi:type="dcterms:W3CDTF">2026-06-09T15:06:00Z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