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b/>
          <w:color w:val="32215A"/>
          <w:sz w:val="60"/>
        </w:rPr>
        <w:t>Sprint Contra el Tiempo</w:t>
      </w:r>
    </w:p>
    <w:p>
      <w:pPr>
        <w:spacing w:after="240"/>
      </w:pPr>
      <w:r>
        <w:rPr>
          <w:color w:val="10A7B8"/>
          <w:sz w:val="34"/>
        </w:rPr>
        <w:t>Plan de trabajo para entregar AquaRisk en 6 semanas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960"/>
      </w:tblGrid>
      <w:tr>
        <w:tc>
          <w:tcPr>
            <w:tcW w:type="dxa" w:w="14112"/>
            <w:shd w:fill="E8F8F1"/>
            <w:tcBorders>
              <w:top w:val="single" w:sz="6" w:space="0" w:color="BFDDE9"/>
              <w:left w:val="single" w:sz="6" w:space="0" w:color="BFDDE9"/>
              <w:bottom w:val="single" w:sz="6" w:space="0" w:color="BFDDE9"/>
              <w:right w:val="single" w:sz="6" w:space="0" w:color="BFDDE9"/>
            </w:tcBorders>
            <w:tcMar>
              <w:top w:w="130" w:type="dxa"/>
              <w:start w:w="180" w:type="dxa"/>
              <w:bottom w:w="130" w:type="dxa"/>
              <w:end w:w="180" w:type="dxa"/>
            </w:tcMar>
          </w:tcPr>
          <w:p>
            <w:pPr>
              <w:spacing w:after="40"/>
            </w:pPr>
            <w:r>
              <w:rPr>
                <w:b/>
                <w:color w:val="32215A"/>
                <w:sz w:val="21"/>
              </w:rPr>
              <w:t>Enfoque del equipo</w:t>
            </w:r>
            <w:r>
              <w:br/>
            </w:r>
            <w:r>
              <w:rPr>
                <w:color w:val="182233"/>
                <w:sz w:val="20"/>
              </w:rPr>
              <w:t>AquaRisk se plantea como una aplicación web responsiva para monitorear lluvia, ubicación del usuario, zonas de riesgo y alertas preventivas. El reto no es solo programar rápido, sino ordenar las dependencias para llegar a una entrega demostrable sin sacrificar pruebas.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33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6CAE8"/>
              <w:left w:val="single" w:sz="6" w:space="0" w:color="D6CAE8"/>
              <w:bottom w:val="single" w:sz="6" w:space="0" w:color="D6CAE8"/>
              <w:right w:val="single" w:sz="6" w:space="0" w:color="D6CAE8"/>
            </w:tcBorders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Proyecto</w:t>
            </w:r>
          </w:p>
        </w:tc>
        <w:tc>
          <w:tcPr>
            <w:tcW w:type="dxa" w:w="96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6CAE8"/>
              <w:left w:val="single" w:sz="6" w:space="0" w:color="D6CAE8"/>
              <w:bottom w:val="single" w:sz="6" w:space="0" w:color="D6CAE8"/>
              <w:right w:val="single" w:sz="6" w:space="0" w:color="D6CAE8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8"/>
              </w:rPr>
              <w:t>AquaRisk - monitoreo de lluvia e inundación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6CAE8"/>
              <w:left w:val="single" w:sz="6" w:space="0" w:color="D6CAE8"/>
              <w:bottom w:val="single" w:sz="6" w:space="0" w:color="D6CAE8"/>
              <w:right w:val="single" w:sz="6" w:space="0" w:color="D6CAE8"/>
            </w:tcBorders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Periodo</w:t>
            </w:r>
          </w:p>
        </w:tc>
        <w:tc>
          <w:tcPr>
            <w:tcW w:type="dxa" w:w="96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6CAE8"/>
              <w:left w:val="single" w:sz="6" w:space="0" w:color="D6CAE8"/>
              <w:bottom w:val="single" w:sz="6" w:space="0" w:color="D6CAE8"/>
              <w:right w:val="single" w:sz="6" w:space="0" w:color="D6CAE8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8"/>
              </w:rPr>
              <w:t>6 semanas: 20 de julio al 28 de agosto de 2026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6CAE8"/>
              <w:left w:val="single" w:sz="6" w:space="0" w:color="D6CAE8"/>
              <w:bottom w:val="single" w:sz="6" w:space="0" w:color="D6CAE8"/>
              <w:right w:val="single" w:sz="6" w:space="0" w:color="D6CAE8"/>
            </w:tcBorders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Metodología de trabajo</w:t>
            </w:r>
          </w:p>
        </w:tc>
        <w:tc>
          <w:tcPr>
            <w:tcW w:type="dxa" w:w="96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6CAE8"/>
              <w:left w:val="single" w:sz="6" w:space="0" w:color="D6CAE8"/>
              <w:bottom w:val="single" w:sz="6" w:space="0" w:color="D6CAE8"/>
              <w:right w:val="single" w:sz="6" w:space="0" w:color="D6CAE8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8"/>
              </w:rPr>
              <w:t>Sprint con entregas parciales, revisión semanal y control de alcance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6CAE8"/>
              <w:left w:val="single" w:sz="6" w:space="0" w:color="D6CAE8"/>
              <w:bottom w:val="single" w:sz="6" w:space="0" w:color="D6CAE8"/>
              <w:right w:val="single" w:sz="6" w:space="0" w:color="D6CAE8"/>
            </w:tcBorders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Producto final</w:t>
            </w:r>
          </w:p>
        </w:tc>
        <w:tc>
          <w:tcPr>
            <w:tcW w:type="dxa" w:w="96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6CAE8"/>
              <w:left w:val="single" w:sz="6" w:space="0" w:color="D6CAE8"/>
              <w:bottom w:val="single" w:sz="6" w:space="0" w:color="D6CAE8"/>
              <w:right w:val="single" w:sz="6" w:space="0" w:color="D6CAE8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8"/>
              </w:rPr>
              <w:t>Aplicación funcional, cronograma, pruebas, capacitación y entrega documentada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6CAE8"/>
              <w:left w:val="single" w:sz="6" w:space="0" w:color="D6CAE8"/>
              <w:bottom w:val="single" w:sz="6" w:space="0" w:color="D6CAE8"/>
              <w:right w:val="single" w:sz="6" w:space="0" w:color="D6CAE8"/>
            </w:tcBorders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Líder del equipo</w:t>
            </w:r>
          </w:p>
        </w:tc>
        <w:tc>
          <w:tcPr>
            <w:tcW w:type="dxa" w:w="96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6CAE8"/>
              <w:left w:val="single" w:sz="6" w:space="0" w:color="D6CAE8"/>
              <w:bottom w:val="single" w:sz="6" w:space="0" w:color="D6CAE8"/>
              <w:right w:val="single" w:sz="6" w:space="0" w:color="D6CAE8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8"/>
              </w:rPr>
              <w:t>Osmar Enrique Ramos Reyes</w:t>
            </w:r>
          </w:p>
        </w:tc>
      </w:tr>
    </w:tbl>
    <w:p>
      <w:r>
        <w:br w:type="page"/>
      </w:r>
    </w:p>
    <w:p>
      <w:pPr>
        <w:pStyle w:val="Heading1"/>
        <w:spacing w:before="200" w:after="100"/>
      </w:pPr>
      <w:r>
        <w:rPr>
          <w:rFonts w:ascii="Calibri" w:hAnsi="Calibri"/>
          <w:b/>
          <w:color w:val="32215A"/>
        </w:rPr>
        <w:t>1. Organización del proyecto</w:t>
      </w:r>
    </w:p>
    <w:p>
      <w:pPr>
        <w:spacing w:after="100" w:line="259" w:lineRule="auto"/>
      </w:pPr>
      <w:r>
        <w:rPr>
          <w:rFonts w:ascii="Calibri" w:hAnsi="Calibri"/>
          <w:color w:val="182233"/>
          <w:sz w:val="21"/>
        </w:rPr>
        <w:t>Para no perder tiempo en retrabajo, el equipo decidió ordenar el proyecto desde lo que desbloquea a los demás: primero entender qué debe hacer AquaRisk, después diseñar la experiencia y la base de datos, y de ahí avanzar en paralelo con frontend y backend. Las pruebas no se dejan hasta el último día; se preparan desde antes y se ejecutan con más fuerza cuando la integración ya está estable.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Integrante</w:t>
            </w:r>
          </w:p>
        </w:tc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Rol principal</w:t>
            </w:r>
          </w:p>
        </w:tc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Responsabilidad dentro del sprint</w:t>
            </w:r>
          </w:p>
        </w:tc>
      </w:tr>
      <w:tr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Osmar Enrique Ramos Reyes</w:t>
            </w:r>
          </w:p>
        </w:tc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Líder de proyecto</w:t>
            </w:r>
          </w:p>
        </w:tc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Coordina prioridades, seguimiento semanal, dependencias y comunicación con el cliente.</w:t>
            </w:r>
          </w:p>
        </w:tc>
      </w:tr>
      <w:tr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Alessandro Bravo Flores</w:t>
            </w:r>
          </w:p>
        </w:tc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Frontend</w:t>
            </w:r>
          </w:p>
        </w:tc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Construcción de vistas, conexión con mapas, estados de lluvia y flujo móvil.</w:t>
            </w:r>
          </w:p>
        </w:tc>
      </w:tr>
      <w:tr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Valeria Montes García</w:t>
            </w:r>
          </w:p>
        </w:tc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Frontend</w:t>
            </w:r>
          </w:p>
        </w:tc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Apoyo en componentes responsivos, permisos de ubicación y visualización del pronóstico.</w:t>
            </w:r>
          </w:p>
        </w:tc>
      </w:tr>
      <w:tr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Ángel Eduardo Pineda Rodas</w:t>
            </w:r>
          </w:p>
        </w:tc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Backend</w:t>
            </w:r>
          </w:p>
        </w:tc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Estructura de datos, consumo de servicios, lógica de alertas y conexión con Supabase.</w:t>
            </w:r>
          </w:p>
        </w:tc>
      </w:tr>
      <w:tr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Diego Iván Morales Cruz</w:t>
            </w:r>
          </w:p>
        </w:tc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Backend</w:t>
            </w:r>
          </w:p>
        </w:tc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Apoyo en consultas, seguridad de datos, endpoints y revisión de integración.</w:t>
            </w:r>
          </w:p>
        </w:tc>
      </w:tr>
      <w:tr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Brian Bezares Ávalos</w:t>
            </w:r>
          </w:p>
        </w:tc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Diseño UX/UI</w:t>
            </w:r>
          </w:p>
        </w:tc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Diseño de interfaz, lectura clara de riesgo, paleta visual y experiencia del usuario.</w:t>
            </w:r>
          </w:p>
        </w:tc>
      </w:tr>
      <w:tr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Ana Paula Orellana López</w:t>
            </w:r>
          </w:p>
        </w:tc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Tester</w:t>
            </w:r>
          </w:p>
        </w:tc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Casos de prueba, validación móvil, errores, permisos y revisión final antes de entrega.</w:t>
            </w:r>
          </w:p>
        </w:tc>
      </w:tr>
    </w:tbl>
    <w:p>
      <w:pPr>
        <w:pStyle w:val="Heading2"/>
        <w:spacing w:before="120" w:after="100"/>
      </w:pPr>
      <w:r>
        <w:rPr>
          <w:rFonts w:ascii="Calibri" w:hAnsi="Calibri"/>
          <w:b/>
          <w:color w:val="5B3C88"/>
        </w:rPr>
        <w:t>Orden lógico, paralelismo y dependencias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7"/>
              </w:rPr>
              <w:t>#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7"/>
              </w:rPr>
              <w:t>Actividad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7"/>
              </w:rPr>
              <w:t>Duración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7"/>
              </w:rPr>
              <w:t>Responsable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7"/>
              </w:rPr>
              <w:t>Depende de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7"/>
              </w:rPr>
              <w:t>Puede avanzar al mismo tiempo que</w:t>
            </w:r>
          </w:p>
        </w:tc>
      </w:tr>
      <w:tr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1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Levantamiento de requisitos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3 días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Osmar + equipo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Inicio del proyecto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Preparación de tablero y criterios de aceptación</w:t>
            </w:r>
          </w:p>
        </w:tc>
      </w:tr>
      <w:tr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2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Diseño UX/UI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5 días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Brian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Requisitos base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Diseño de base de datos y contratos de API</w:t>
            </w:r>
          </w:p>
        </w:tc>
      </w:tr>
      <w:tr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3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Diseño de base de datos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2 días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Ángel + Diego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Requisitos base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UX/UI y definición técnica del backend</w:t>
            </w:r>
          </w:p>
        </w:tc>
      </w:tr>
      <w:tr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4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Desarrollo backend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10 días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Ángel + Diego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Base de datos aprobada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Frontend con datos de prueba</w:t>
            </w:r>
          </w:p>
        </w:tc>
      </w:tr>
      <w:tr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5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Desarrollo frontend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9 días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Alessandro + Valeria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UX/UI aprobado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Backend y casos de prueba iniciales</w:t>
            </w:r>
          </w:p>
        </w:tc>
      </w:tr>
      <w:tr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6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Integración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3 días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Osmar + front + back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Módulos principales listos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Pruebas exploratorias</w:t>
            </w:r>
          </w:p>
        </w:tc>
      </w:tr>
      <w:tr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7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Pruebas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4 días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Ana Paula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Integración funcional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Correcciones menores y documentación</w:t>
            </w:r>
          </w:p>
        </w:tc>
      </w:tr>
      <w:tr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8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Corrección de errores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3 días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Todo el equipo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Reporte de pruebas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Capacitación preliminar</w:t>
            </w:r>
          </w:p>
        </w:tc>
      </w:tr>
      <w:tr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9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Capacitación al cliente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2 días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Osmar + Ana Paula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Versión estable</w:t>
            </w:r>
          </w:p>
        </w:tc>
        <w:tc>
          <w:tcPr>
            <w:tcW w:type="dxa" w:w="23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6"/>
              </w:rPr>
              <w:t>Cierre, manual breve y entrega final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960"/>
      </w:tblGrid>
      <w:tr>
        <w:tc>
          <w:tcPr>
            <w:tcW w:type="dxa" w:w="14112"/>
            <w:shd w:fill="EAF7FB"/>
            <w:tcBorders>
              <w:top w:val="single" w:sz="6" w:space="0" w:color="BFDDE9"/>
              <w:left w:val="single" w:sz="6" w:space="0" w:color="BFDDE9"/>
              <w:bottom w:val="single" w:sz="6" w:space="0" w:color="BFDDE9"/>
              <w:right w:val="single" w:sz="6" w:space="0" w:color="BFDDE9"/>
            </w:tcBorders>
            <w:tcMar>
              <w:top w:w="130" w:type="dxa"/>
              <w:start w:w="180" w:type="dxa"/>
              <w:bottom w:w="130" w:type="dxa"/>
              <w:end w:w="180" w:type="dxa"/>
            </w:tcMar>
          </w:tcPr>
          <w:p>
            <w:pPr>
              <w:spacing w:after="40"/>
            </w:pPr>
            <w:r>
              <w:rPr>
                <w:b/>
                <w:color w:val="32215A"/>
                <w:sz w:val="21"/>
              </w:rPr>
              <w:t>Ruta crítica</w:t>
            </w:r>
            <w:r>
              <w:br/>
            </w:r>
            <w:r>
              <w:rPr>
                <w:color w:val="182233"/>
                <w:sz w:val="20"/>
              </w:rPr>
              <w:t>La cadena que más cuida el equipo es: requisitos -&gt; base de datos -&gt; backend -&gt; integración -&gt; pruebas -&gt; corrección -&gt; capacitación. Frontend avanza en paralelo, pero se vuelve crítico si las pantallas principales no están listas para integrar en la semana 4.</w:t>
            </w:r>
          </w:p>
        </w:tc>
      </w:tr>
    </w:tbl>
    <w:p>
      <w:r>
        <w:br w:type="page"/>
      </w:r>
    </w:p>
    <w:p>
      <w:pPr>
        <w:pStyle w:val="Heading1"/>
        <w:spacing w:before="200" w:after="100"/>
      </w:pPr>
      <w:r>
        <w:rPr>
          <w:rFonts w:ascii="Calibri" w:hAnsi="Calibri"/>
          <w:b/>
          <w:color w:val="32215A"/>
        </w:rPr>
        <w:t>2. Priorización con Matriz de Eisenhower</w:t>
      </w:r>
    </w:p>
    <w:p>
      <w:pPr>
        <w:spacing w:after="100" w:line="259" w:lineRule="auto"/>
      </w:pPr>
      <w:r>
        <w:rPr>
          <w:rFonts w:ascii="Calibri" w:hAnsi="Calibri"/>
          <w:color w:val="182233"/>
          <w:sz w:val="21"/>
        </w:rPr>
        <w:t>La matriz se usó para separar lo que realmente protege la fecha de entrega de lo que solo mejora la presentación. En un sprint de 6 semanas, casi todo parece urgente; por eso la decisión fue priorizar aquello que desbloquea trabajo, reduce riesgo o permite probar con usuarios antes del cierre.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>
              <w:rPr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7"/>
              </w:rPr>
            </w:r>
          </w:p>
        </w:tc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>
              <w:rPr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7"/>
              </w:rPr>
              <w:t>Urgente</w:t>
            </w:r>
          </w:p>
        </w:tc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>
              <w:rPr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7"/>
              </w:rPr>
              <w:t>No urgente</w:t>
            </w:r>
          </w:p>
        </w:tc>
      </w:tr>
      <w:tr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>
              <w:rPr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7"/>
              </w:rPr>
              <w:t>Importante</w:t>
            </w:r>
          </w:p>
        </w:tc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8F1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Levantamiento de requisitos, diseño de base de datos, desarrollo backend, desarrollo frontend, integración, pruebas y corrección de errores.</w:t>
              <w:br/>
              <w:br/>
              <w:t>Justificación: si cualquiera de estas actividades falla, el producto no se puede entregar o queda sin validar.</w:t>
            </w:r>
          </w:p>
        </w:tc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E8FA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Diseño UX/UI, documentación breve, capacitación al cliente y criterios de aceptación.</w:t>
              <w:br/>
              <w:br/>
              <w:t>Justificación: no siempre bloquean el primer día, pero elevan la calidad, evitan confusiones y ayudan a que el cliente use AquaRisk sin depender del equipo.</w:t>
            </w:r>
          </w:p>
        </w:tc>
      </w:tr>
      <w:tr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>
              <w:rPr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7"/>
              </w:rPr>
              <w:t>No importante</w:t>
            </w:r>
          </w:p>
        </w:tc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3C4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Ajustes menores de presentación, preparación de capturas y material de apoyo para exposición.</w:t>
              <w:br/>
              <w:br/>
              <w:t>Justificación: tienen fecha cercana y conviene terminarlos, pero no deben quitar tiempo al funcionamiento principal.</w:t>
            </w:r>
          </w:p>
        </w:tc>
        <w:tc>
          <w:tcPr>
            <w:tcW w:type="dxa" w:w="4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4F6F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Funciones extra fuera del alcance: historial avanzado, perfiles de usuario complejos, reportes extensos o mapas decorativos.</w:t>
              <w:br/>
              <w:br/>
              <w:t>Justificación: pueden ser buenas ideas para otra versión, pero meterlas ahora pondría en riesgo la entrega.</w:t>
            </w:r>
          </w:p>
        </w:tc>
      </w:tr>
    </w:tbl>
    <w:p>
      <w:pPr>
        <w:pStyle w:val="Heading2"/>
        <w:spacing w:before="120" w:after="100"/>
      </w:pPr>
      <w:r>
        <w:rPr>
          <w:rFonts w:ascii="Calibri" w:hAnsi="Calibri"/>
          <w:b/>
          <w:color w:val="5B3C88"/>
        </w:rPr>
        <w:t>Decisiones de priorización</w:t>
      </w:r>
    </w:p>
    <w:p>
      <w:pPr>
        <w:pStyle w:val="ListBullet"/>
        <w:spacing w:after="40"/>
      </w:pPr>
      <w:r>
        <w:rPr>
          <w:color w:val="182233"/>
          <w:sz w:val="20"/>
        </w:rPr>
        <w:t>El alcance mínimo entregable queda formado por ubicación, consulta de clima, lectura de riesgo, mapa, alertas preventivas y pruebas en móvil.</w:t>
      </w:r>
    </w:p>
    <w:p>
      <w:pPr>
        <w:pStyle w:val="ListBullet"/>
        <w:spacing w:after="40"/>
      </w:pPr>
      <w:r>
        <w:rPr>
          <w:color w:val="182233"/>
          <w:sz w:val="20"/>
        </w:rPr>
        <w:t>Las mejoras visuales se trabajan solo cuando no afecten el avance del backend, integración o pruebas.</w:t>
      </w:r>
    </w:p>
    <w:p>
      <w:pPr>
        <w:pStyle w:val="ListBullet"/>
        <w:spacing w:after="40"/>
      </w:pPr>
      <w:r>
        <w:rPr>
          <w:color w:val="182233"/>
          <w:sz w:val="20"/>
        </w:rPr>
        <w:t>La capacitación se prepara desde la semana 5 para que no se vuelva una tarea improvisada al final.</w:t>
      </w:r>
    </w:p>
    <w:p>
      <w:pPr>
        <w:pStyle w:val="ListBullet"/>
        <w:spacing w:after="40"/>
      </w:pPr>
      <w:r>
        <w:rPr>
          <w:color w:val="182233"/>
          <w:sz w:val="20"/>
        </w:rPr>
        <w:t>Cualquier función nueva debe pasar por el líder del proyecto; si no ayuda a la entrega de 6 semanas, se deja para una segunda versión.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Calibri" w:hAnsi="Calibri"/>
          <w:b/>
          <w:color w:val="32215A"/>
        </w:rPr>
        <w:t>3. Cronograma tipo Gantt</w:t>
      </w:r>
    </w:p>
    <w:p>
      <w:pPr>
        <w:spacing w:after="100" w:line="259" w:lineRule="auto"/>
      </w:pPr>
      <w:r>
        <w:rPr>
          <w:rFonts w:ascii="Calibri" w:hAnsi="Calibri"/>
          <w:color w:val="182233"/>
          <w:sz w:val="21"/>
        </w:rPr>
        <w:t>El cronograma se construyó con semanas laborales de lunes a viernes. La semana 6 se reserva para capacitación, cierre y margen de seguridad, porque en un proyecto con datos externos, GPS y notificaciones siempre puede aparecer algún ajuste final.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1"/>
        <w:gridCol w:w="1411"/>
        <w:gridCol w:w="1411"/>
        <w:gridCol w:w="1411"/>
        <w:gridCol w:w="1411"/>
        <w:gridCol w:w="1411"/>
        <w:gridCol w:w="1411"/>
        <w:gridCol w:w="1411"/>
        <w:gridCol w:w="1411"/>
        <w:gridCol w:w="1411"/>
      </w:tblGrid>
      <w:tr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Actividad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Responsable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Duración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Dependencia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Sem. 1</w:t>
              <w:br/>
              <w:t>20-24 jul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Sem. 2</w:t>
              <w:br/>
              <w:t>27-31 jul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Sem. 3</w:t>
              <w:br/>
              <w:t>3-7 ago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Sem. 4</w:t>
              <w:br/>
              <w:t>10-14 ago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Sem. 5</w:t>
              <w:br/>
              <w:t>17-21 ago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Sem. 6</w:t>
              <w:br/>
              <w:t>24-28 ago</w:t>
            </w:r>
          </w:p>
        </w:tc>
      </w:tr>
      <w:tr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Levantamiento de requisitos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Osmar + equipo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3 días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Inicio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20-22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</w:tr>
      <w:tr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Diseño UX/UI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Brian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5 días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Requisitos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23-24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27-29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</w:tr>
      <w:tr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Diseño de base de datos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Ángel + Diego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2 días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Requisitos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23-24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</w:tr>
      <w:tr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Desarrollo backend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Ángel + Diego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10 días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BD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27-31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3-7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</w:tr>
      <w:tr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Desarrollo frontend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Alessandro + Valeria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9 días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UX/UI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30-31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3-7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10-11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</w:tr>
      <w:tr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Integración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Osmar + front + back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3 días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Módulos base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10-12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</w:tr>
      <w:tr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Pruebas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Ana Paula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4 días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Integración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13-14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17-18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</w:tr>
      <w:tr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Corrección de errores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Todo el equipo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3 días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Pruebas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19-21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</w:tr>
      <w:tr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Capacitación al cliente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Osmar + Ana Paula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2 días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Versión estable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24-25</w:t>
            </w:r>
          </w:p>
        </w:tc>
      </w:tr>
      <w:tr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Cierre y entrega final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Osmar + equipo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3 días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  <w:t>Capacitación</w:t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 w:val="0"/>
                <w:color w:val="182233"/>
                <w:sz w:val="15"/>
              </w:rPr>
            </w:r>
          </w:p>
        </w:tc>
        <w:tc>
          <w:tcPr>
            <w:tcW w:type="dxa" w:w="14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26-28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960"/>
      </w:tblGrid>
      <w:tr>
        <w:tc>
          <w:tcPr>
            <w:tcW w:type="dxa" w:w="14112"/>
            <w:shd w:fill="EFE8FA"/>
            <w:tcBorders>
              <w:top w:val="single" w:sz="6" w:space="0" w:color="BFDDE9"/>
              <w:left w:val="single" w:sz="6" w:space="0" w:color="BFDDE9"/>
              <w:bottom w:val="single" w:sz="6" w:space="0" w:color="BFDDE9"/>
              <w:right w:val="single" w:sz="6" w:space="0" w:color="BFDDE9"/>
            </w:tcBorders>
            <w:tcMar>
              <w:top w:w="130" w:type="dxa"/>
              <w:start w:w="180" w:type="dxa"/>
              <w:bottom w:w="130" w:type="dxa"/>
              <w:end w:w="180" w:type="dxa"/>
            </w:tcMar>
          </w:tcPr>
          <w:p>
            <w:pPr>
              <w:spacing w:after="40"/>
            </w:pPr>
            <w:r>
              <w:rPr>
                <w:b/>
                <w:color w:val="32215A"/>
                <w:sz w:val="21"/>
              </w:rPr>
              <w:t>Lectura del Gantt</w:t>
            </w:r>
            <w:r>
              <w:br/>
            </w:r>
            <w:r>
              <w:rPr>
                <w:color w:val="182233"/>
                <w:sz w:val="20"/>
              </w:rPr>
              <w:t>Las barras muestran cuándo se trabaja cada actividad. Las tareas de frontend y backend se empalman porque no tiene sentido esperar a que una termine por completo; se integran por módulos para detectar fallas antes de la última semana.</w:t>
            </w:r>
          </w:p>
        </w:tc>
      </w:tr>
    </w:tbl>
    <w:p>
      <w:r>
        <w:br w:type="page"/>
      </w:r>
    </w:p>
    <w:p>
      <w:pPr>
        <w:pStyle w:val="Heading1"/>
        <w:spacing w:before="200" w:after="100"/>
      </w:pPr>
      <w:r>
        <w:rPr>
          <w:rFonts w:ascii="Calibri" w:hAnsi="Calibri"/>
          <w:b/>
          <w:color w:val="32215A"/>
        </w:rPr>
        <w:t>4. Gestión del tiempo y solución al imprevisto</w:t>
      </w:r>
    </w:p>
    <w:p>
      <w:pPr>
        <w:spacing w:after="100" w:line="259" w:lineRule="auto"/>
      </w:pPr>
      <w:r>
        <w:rPr>
          <w:rFonts w:ascii="Calibri" w:hAnsi="Calibri"/>
          <w:color w:val="182233"/>
          <w:sz w:val="21"/>
        </w:rPr>
        <w:t>Imprevisto trabajado por el equipo: durante la integración, AquaRisk puede presentar diferencias entre el pronóstico y la lluvia real observada, además de comportamientos distintos en permisos de ubicación, notificaciones o capa de radar según el dispositivo. Este imprevisto es creíble porque el proyecto depende de datos externos y de permisos del navegador.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Pregunta</w:t>
            </w:r>
          </w:p>
        </w:tc>
        <w:tc>
          <w:tcPr>
            <w:tcW w:type="dxa" w:w="70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Respuesta del equipo</w:t>
            </w:r>
          </w:p>
        </w:tc>
      </w:tr>
      <w:tr>
        <w:tc>
          <w:tcPr>
            <w:tcW w:type="dxa" w:w="70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/>
                <w:color w:val="182233"/>
                <w:sz w:val="17"/>
              </w:rPr>
              <w:t>¿Qué actividades cambiarían?</w:t>
            </w:r>
          </w:p>
        </w:tc>
        <w:tc>
          <w:tcPr>
            <w:tcW w:type="dxa" w:w="70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Adelantaríamos integración técnica desde la semana 3, aunque sea con módulos incompletos. También moveríamos las pruebas de permisos, GPS y notificaciones a una revisión temprana para no descubrir fallas en la semana final.</w:t>
            </w:r>
          </w:p>
        </w:tc>
      </w:tr>
      <w:tr>
        <w:tc>
          <w:tcPr>
            <w:tcW w:type="dxa" w:w="70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/>
                <w:color w:val="182233"/>
                <w:sz w:val="17"/>
              </w:rPr>
              <w:t>¿Qué tareas pueden adelantarse?</w:t>
            </w:r>
          </w:p>
        </w:tc>
        <w:tc>
          <w:tcPr>
            <w:tcW w:type="dxa" w:w="70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Casos de prueba, contrato de datos entre frontend y backend, estructura de Supabase, pantallas base, guía breve para cliente y validación en celular. Todo eso puede avanzar sin esperar a tener el sistema completo.</w:t>
            </w:r>
          </w:p>
        </w:tc>
      </w:tr>
      <w:tr>
        <w:tc>
          <w:tcPr>
            <w:tcW w:type="dxa" w:w="70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/>
                <w:color w:val="182233"/>
                <w:sz w:val="17"/>
              </w:rPr>
              <w:t>¿Qué tareas deben retrasarse?</w:t>
            </w:r>
          </w:p>
        </w:tc>
        <w:tc>
          <w:tcPr>
            <w:tcW w:type="dxa" w:w="70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Extras visuales, mapas secundarios, estadísticas históricas y funciones que no sean necesarias para demostrar lluvia, ubicación, zonas de riesgo y alertas. Es mejor entregar una versión clara que una versión grande pero inestable.</w:t>
            </w:r>
          </w:p>
        </w:tc>
      </w:tr>
      <w:tr>
        <w:tc>
          <w:tcPr>
            <w:tcW w:type="dxa" w:w="70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/>
                <w:color w:val="182233"/>
                <w:sz w:val="17"/>
              </w:rPr>
              <w:t>¿Cómo evitarían retrasar la entrega?</w:t>
            </w:r>
          </w:p>
        </w:tc>
        <w:tc>
          <w:tcPr>
            <w:tcW w:type="dxa" w:w="70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7"/>
              </w:rPr>
              <w:t>Con revisión diaria de 15 minutos, tablero Kanban, responsables visibles, integración por módulos, pruebas desde la semana 3, congelamiento de alcance al iniciar la semana 5 y una reserva operativa en la semana 6.</w:t>
            </w:r>
          </w:p>
        </w:tc>
      </w:tr>
    </w:tbl>
    <w:p>
      <w:pPr>
        <w:pStyle w:val="Heading2"/>
        <w:spacing w:before="120" w:after="100"/>
      </w:pPr>
      <w:r>
        <w:rPr>
          <w:rFonts w:ascii="Calibri" w:hAnsi="Calibri"/>
          <w:b/>
          <w:color w:val="5B3C88"/>
        </w:rPr>
        <w:t>Medidas concretas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70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5B3C88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Aplicación</w:t>
            </w:r>
          </w:p>
        </w:tc>
      </w:tr>
      <w:tr>
        <w:tc>
          <w:tcPr>
            <w:tcW w:type="dxa" w:w="70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/>
                <w:color w:val="182233"/>
                <w:sz w:val="18"/>
              </w:rPr>
              <w:t>Control de alcance</w:t>
            </w:r>
          </w:p>
        </w:tc>
        <w:tc>
          <w:tcPr>
            <w:tcW w:type="dxa" w:w="70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8"/>
              </w:rPr>
              <w:t>A partir de la semana 5 solo se corrigen errores y se ajusta claridad; no se agregan funciones nuevas.</w:t>
            </w:r>
          </w:p>
        </w:tc>
      </w:tr>
      <w:tr>
        <w:tc>
          <w:tcPr>
            <w:tcW w:type="dxa" w:w="70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/>
                <w:color w:val="182233"/>
                <w:sz w:val="18"/>
              </w:rPr>
              <w:t>Revisión técnica</w:t>
            </w:r>
          </w:p>
        </w:tc>
        <w:tc>
          <w:tcPr>
            <w:tcW w:type="dxa" w:w="70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8"/>
              </w:rPr>
              <w:t>Backend y frontend validan juntos los datos de clima, ubicación y riesgo antes de pasar a pruebas formales.</w:t>
            </w:r>
          </w:p>
        </w:tc>
      </w:tr>
      <w:tr>
        <w:tc>
          <w:tcPr>
            <w:tcW w:type="dxa" w:w="70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/>
                <w:color w:val="182233"/>
                <w:sz w:val="18"/>
              </w:rPr>
              <w:t>Pruebas reales</w:t>
            </w:r>
          </w:p>
        </w:tc>
        <w:tc>
          <w:tcPr>
            <w:tcW w:type="dxa" w:w="70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8"/>
              </w:rPr>
              <w:t>Ana Paula prueba en móvil, escritorio y navegador con permisos concedidos, bloqueados y restablecidos.</w:t>
            </w:r>
          </w:p>
        </w:tc>
      </w:tr>
      <w:tr>
        <w:tc>
          <w:tcPr>
            <w:tcW w:type="dxa" w:w="70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</w:tcPr>
          <w:p>
            <w:r/>
            <w:r>
              <w:rPr>
                <w:rFonts w:ascii="Calibri" w:hAnsi="Calibri"/>
                <w:b/>
                <w:color w:val="182233"/>
                <w:sz w:val="18"/>
              </w:rPr>
              <w:t>Comunicación</w:t>
            </w:r>
          </w:p>
        </w:tc>
        <w:tc>
          <w:tcPr>
            <w:tcW w:type="dxa" w:w="70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space="0" w:color="D8DDE6"/>
              <w:left w:val="single" w:sz="6" w:space="0" w:color="D8DDE6"/>
              <w:bottom w:val="single" w:sz="6" w:space="0" w:color="D8DDE6"/>
              <w:right w:val="single" w:sz="6" w:space="0" w:color="D8DDE6"/>
            </w:tcBorders>
            <w:shd w:fill="FFFFFF"/>
          </w:tcPr>
          <w:p>
            <w:r/>
            <w:r>
              <w:rPr>
                <w:rFonts w:ascii="Calibri" w:hAnsi="Calibri"/>
                <w:b w:val="0"/>
                <w:color w:val="182233"/>
                <w:sz w:val="18"/>
              </w:rPr>
              <w:t>Osmar registra acuerdos, bloqueos y cambios para que el equipo no trabaje sobre suposiciones.</w:t>
            </w:r>
          </w:p>
        </w:tc>
      </w:tr>
    </w:tbl>
    <w:p>
      <w:r>
        <w:br w:type="page"/>
      </w:r>
    </w:p>
    <w:p>
      <w:pPr>
        <w:pStyle w:val="Heading1"/>
        <w:spacing w:before="200" w:after="100"/>
      </w:pPr>
      <w:r>
        <w:rPr>
          <w:rFonts w:ascii="Calibri" w:hAnsi="Calibri"/>
          <w:b/>
          <w:color w:val="32215A"/>
        </w:rPr>
        <w:t>5. Conclusión del equipo</w:t>
      </w:r>
    </w:p>
    <w:p>
      <w:pPr>
        <w:spacing w:after="100" w:line="259" w:lineRule="auto"/>
      </w:pPr>
      <w:r>
        <w:rPr>
          <w:rFonts w:ascii="Calibri" w:hAnsi="Calibri"/>
          <w:color w:val="182233"/>
          <w:sz w:val="21"/>
        </w:rPr>
        <w:t>Como equipo, consideramos que AquaRisk sí puede entregarse en 6 semanas si se cuida el orden de las dependencias y se evita crecer el alcance a mitad del sprint. La clave es no esperar hasta el final para integrar: backend, frontend, diseño y pruebas deben verse como partes conectadas del mismo avance. También aprendimos que una aplicación con clima, GPS y alertas no depende únicamente del código; depende de permisos, datos externos y validación en dispositivos reales. Por eso dejamos una semana final con margen, capacitación y cierre. Nuestra prioridad es entregar una versión funcional, clara para el usuario y defendible ante el cliente, aunque algunas funciones avanzadas queden para una segunda etapa.</w:t>
      </w:r>
    </w:p>
    <w:p>
      <w:pPr>
        <w:pStyle w:val="Heading1"/>
        <w:spacing w:before="200" w:after="100"/>
      </w:pPr>
      <w:r>
        <w:rPr>
          <w:rFonts w:ascii="Calibri" w:hAnsi="Calibri"/>
          <w:b/>
          <w:color w:val="32215A"/>
        </w:rPr>
        <w:t>Referencias</w:t>
      </w:r>
    </w:p>
    <w:p>
      <w:pPr>
        <w:pStyle w:val="ListBullet"/>
        <w:spacing w:after="40"/>
      </w:pPr>
      <w:r>
        <w:rPr>
          <w:color w:val="182233"/>
          <w:sz w:val="19"/>
        </w:rPr>
        <w:t>Schwaber, K. y Sutherland, J. (2020). The Scrum Guide. https://scrumguides.org/scrum-guide.html</w:t>
      </w:r>
    </w:p>
    <w:p>
      <w:pPr>
        <w:pStyle w:val="ListBullet"/>
        <w:spacing w:after="40"/>
      </w:pPr>
      <w:r>
        <w:rPr>
          <w:color w:val="182233"/>
          <w:sz w:val="19"/>
        </w:rPr>
        <w:t>Project Management Institute. Project schedule management y control de cronogramas. https://www.pmi.org/</w:t>
      </w:r>
    </w:p>
    <w:p>
      <w:pPr>
        <w:pStyle w:val="ListBullet"/>
        <w:spacing w:after="40"/>
      </w:pPr>
      <w:r>
        <w:rPr>
          <w:color w:val="182233"/>
          <w:sz w:val="19"/>
        </w:rPr>
        <w:t>Covey, S. R. (1989). The 7 Habits of Highly Effective People. Matriz urgente/importante como apoyo para priorización.</w:t>
      </w:r>
    </w:p>
    <w:p>
      <w:pPr>
        <w:pStyle w:val="ListBullet"/>
        <w:spacing w:after="40"/>
      </w:pPr>
      <w:r>
        <w:rPr>
          <w:color w:val="182233"/>
          <w:sz w:val="19"/>
        </w:rPr>
        <w:t>Open-Meteo. Forecast API Documentation. https://open-meteo.com/en/docs</w:t>
      </w:r>
    </w:p>
    <w:p>
      <w:pPr>
        <w:pStyle w:val="ListBullet"/>
        <w:spacing w:after="40"/>
      </w:pPr>
      <w:r>
        <w:rPr>
          <w:color w:val="182233"/>
          <w:sz w:val="19"/>
        </w:rPr>
        <w:t>RainViewer. Weather Maps API. https://www.rainviewer.com/api/weather-maps-api.html</w:t>
      </w:r>
    </w:p>
    <w:p>
      <w:pPr>
        <w:pStyle w:val="ListBullet"/>
        <w:spacing w:after="40"/>
      </w:pPr>
      <w:r>
        <w:rPr>
          <w:color w:val="182233"/>
          <w:sz w:val="19"/>
        </w:rPr>
        <w:t>MDN Web Docs. Geolocation API y Notifications API. https://developer.mozilla.org/</w:t>
      </w:r>
    </w:p>
    <w:p>
      <w:pPr>
        <w:pStyle w:val="ListBullet"/>
        <w:spacing w:after="40"/>
      </w:pPr>
      <w:r>
        <w:rPr>
          <w:color w:val="182233"/>
          <w:sz w:val="19"/>
        </w:rPr>
        <w:t>Supabase. Documentation. https://supabase.com/docs</w:t>
      </w:r>
    </w:p>
    <w:sectPr w:rsidR="00FC693F" w:rsidRPr="0006063C" w:rsidSect="00034616">
      <w:footerReference w:type="default" r:id="rId9"/>
      <w:pgSz w:w="15840" w:h="12240" w:orient="landscape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AquaRisk | Cronograma de 6 semanas | Entrega académica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822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