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学习笔记</w:t>
      </w:r>
    </w:p>
    <w:p>
      <w:pPr>
        <w:spacing w:before="120" w:after="120" w:line="288" w:lineRule="auto"/>
        <w:ind w:left="0"/>
        <w:jc w:val="left"/>
      </w:pPr>
      <w:r>
        <w:rPr>
          <w:rFonts w:eastAsia="等线" w:ascii="Arial" w:cs="Arial" w:hAnsi="Arial"/>
          <w:sz w:val="22"/>
        </w:rPr>
        <w:t>文献信息</w:t>
      </w:r>
    </w:p>
    <w:p>
      <w:pPr>
        <w:numPr>
          <w:numId w:val="1"/>
        </w:numPr>
        <w:spacing w:before="120" w:after="120" w:line="288" w:lineRule="auto"/>
        <w:ind w:left="0"/>
        <w:jc w:val="left"/>
      </w:pPr>
      <w:r>
        <w:rPr>
          <w:rFonts w:eastAsia="等线" w:ascii="Arial" w:cs="Arial" w:hAnsi="Arial"/>
          <w:sz w:val="22"/>
        </w:rPr>
        <w:t>论文题目：类脑赋能视觉增强：原理、方法与前沿进展</w:t>
      </w:r>
    </w:p>
    <w:p>
      <w:pPr>
        <w:numPr>
          <w:numId w:val="2"/>
        </w:numPr>
        <w:spacing w:before="120" w:after="120" w:line="288" w:lineRule="auto"/>
        <w:ind w:left="0"/>
        <w:jc w:val="left"/>
      </w:pPr>
      <w:r>
        <w:rPr>
          <w:rFonts w:eastAsia="等线" w:ascii="Arial" w:cs="Arial" w:hAnsi="Arial"/>
          <w:sz w:val="22"/>
        </w:rPr>
        <w:t>作者：余磊、施柏鑫、王威、余肇飞、郭宇飞、乔宁、夏桂松</w:t>
      </w:r>
    </w:p>
    <w:p>
      <w:pPr>
        <w:numPr>
          <w:numId w:val="3"/>
        </w:numPr>
        <w:spacing w:before="120" w:after="120" w:line="288" w:lineRule="auto"/>
        <w:ind w:left="0"/>
        <w:jc w:val="left"/>
      </w:pPr>
      <w:r>
        <w:rPr>
          <w:rFonts w:eastAsia="等线" w:ascii="Arial" w:cs="Arial" w:hAnsi="Arial"/>
          <w:sz w:val="22"/>
        </w:rPr>
        <w:t>出处：中国图象图形学报，2025年，第30卷，第6期，1593–1615页</w:t>
      </w:r>
    </w:p>
    <w:p>
      <w:pPr>
        <w:numPr>
          <w:numId w:val="4"/>
        </w:numPr>
        <w:spacing w:before="120" w:after="120" w:line="288" w:lineRule="auto"/>
        <w:ind w:left="0"/>
        <w:jc w:val="left"/>
      </w:pPr>
      <w:r>
        <w:rPr>
          <w:rFonts w:eastAsia="等线" w:ascii="Arial" w:cs="Arial" w:hAnsi="Arial"/>
          <w:sz w:val="22"/>
        </w:rPr>
        <w:t>DOI：10.11834/jig.240779</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一、学习目的</w:t>
      </w:r>
      <w:bookmarkEnd w:id="0"/>
    </w:p>
    <w:p>
      <w:pPr>
        <w:spacing w:before="120" w:after="120" w:line="288" w:lineRule="auto"/>
        <w:ind w:left="0"/>
        <w:jc w:val="left"/>
      </w:pPr>
      <w:r>
        <w:rPr>
          <w:rFonts w:eastAsia="等线" w:ascii="Arial" w:cs="Arial" w:hAnsi="Arial"/>
          <w:sz w:val="22"/>
        </w:rPr>
        <w:t>本文是一篇关于类脑视觉感知与事件相机技术的系统性综述。通过学习：</w:t>
      </w:r>
    </w:p>
    <w:p>
      <w:pPr>
        <w:numPr>
          <w:numId w:val="5"/>
        </w:numPr>
        <w:spacing w:before="120" w:after="120" w:line="288" w:lineRule="auto"/>
        <w:ind w:left="0"/>
        <w:jc w:val="left"/>
      </w:pPr>
      <w:r>
        <w:rPr>
          <w:rFonts w:eastAsia="等线" w:ascii="Arial" w:cs="Arial" w:hAnsi="Arial"/>
          <w:sz w:val="22"/>
        </w:rPr>
        <w:t>理解事件相机的工作原理及其与传统相机的本质区别；</w:t>
      </w:r>
    </w:p>
    <w:p>
      <w:pPr>
        <w:numPr>
          <w:numId w:val="6"/>
        </w:numPr>
        <w:spacing w:before="120" w:after="120" w:line="288" w:lineRule="auto"/>
        <w:ind w:left="0"/>
        <w:jc w:val="left"/>
      </w:pPr>
      <w:r>
        <w:rPr>
          <w:rFonts w:eastAsia="等线" w:ascii="Arial" w:cs="Arial" w:hAnsi="Arial"/>
          <w:sz w:val="22"/>
        </w:rPr>
        <w:t>掌握事件相机在图像/视频增强中的典型应用范式；</w:t>
      </w:r>
    </w:p>
    <w:p>
      <w:pPr>
        <w:numPr>
          <w:numId w:val="7"/>
        </w:numPr>
        <w:spacing w:before="120" w:after="120" w:line="288" w:lineRule="auto"/>
        <w:ind w:left="0"/>
        <w:jc w:val="left"/>
      </w:pPr>
      <w:r>
        <w:rPr>
          <w:rFonts w:eastAsia="等线" w:ascii="Arial" w:cs="Arial" w:hAnsi="Arial"/>
          <w:sz w:val="22"/>
        </w:rPr>
        <w:t>了解当前技术瓶颈与未来发展趋势。</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二、事件相机基础</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工作原理</w:t>
      </w:r>
      <w:bookmarkEnd w:id="2"/>
    </w:p>
    <w:p>
      <w:pPr>
        <w:spacing w:before="120" w:after="120" w:line="288" w:lineRule="auto"/>
        <w:ind w:left="0"/>
        <w:jc w:val="left"/>
      </w:pPr>
      <w:r>
        <w:rPr>
          <w:rFonts w:eastAsia="等线" w:ascii="Arial" w:cs="Arial" w:hAnsi="Arial"/>
          <w:sz w:val="22"/>
        </w:rPr>
        <w:t>事件相机（Event Camera）仿效生物视网膜的神经机制，每个像素独立检测场景亮度的对数变化。当亮度变化超过设定阈值时，该像素立即输出一个“事件”（Event），包含：</w:t>
      </w:r>
    </w:p>
    <w:p>
      <w:pPr>
        <w:numPr>
          <w:numId w:val="8"/>
        </w:numPr>
        <w:spacing w:before="120" w:after="120" w:line="288" w:lineRule="auto"/>
        <w:ind w:left="0"/>
        <w:jc w:val="left"/>
      </w:pPr>
      <w:r>
        <w:rPr>
          <w:rFonts w:eastAsia="等线" w:ascii="Arial" w:cs="Arial" w:hAnsi="Arial"/>
          <w:sz w:val="22"/>
        </w:rPr>
        <w:t>触发时间（μs级精度）</w:t>
      </w:r>
    </w:p>
    <w:p>
      <w:pPr>
        <w:numPr>
          <w:numId w:val="9"/>
        </w:numPr>
        <w:spacing w:before="120" w:after="120" w:line="288" w:lineRule="auto"/>
        <w:ind w:left="0"/>
        <w:jc w:val="left"/>
      </w:pPr>
      <w:r>
        <w:rPr>
          <w:rFonts w:eastAsia="等线" w:ascii="Arial" w:cs="Arial" w:hAnsi="Arial"/>
          <w:sz w:val="22"/>
        </w:rPr>
        <w:t>像素坐标（x, y）</w:t>
      </w:r>
    </w:p>
    <w:p>
      <w:pPr>
        <w:numPr>
          <w:numId w:val="10"/>
        </w:numPr>
        <w:spacing w:before="120" w:after="120" w:line="288" w:lineRule="auto"/>
        <w:ind w:left="0"/>
        <w:jc w:val="left"/>
      </w:pPr>
      <w:r>
        <w:rPr>
          <w:rFonts w:eastAsia="等线" w:ascii="Arial" w:cs="Arial" w:hAnsi="Arial"/>
          <w:sz w:val="22"/>
        </w:rPr>
        <w:t>变化极性（正/负）</w:t>
      </w:r>
    </w:p>
    <w:p>
      <w:pPr>
        <w:spacing w:before="120" w:after="120" w:line="288" w:lineRule="auto"/>
        <w:ind w:left="0"/>
        <w:jc w:val="left"/>
      </w:pPr>
      <w:r>
        <w:rPr>
          <w:rFonts w:eastAsia="等线" w:ascii="Arial" w:cs="Arial" w:hAnsi="Arial"/>
          <w:sz w:val="22"/>
        </w:rPr>
        <w:t>所有事件以异步脉冲流的形式输出，而非传统相机的固定帧率图像。</w:t>
      </w:r>
    </w:p>
    <w:p>
      <w:pPr>
        <w:pStyle w:val="3"/>
        <w:spacing w:before="300" w:after="120" w:line="288" w:lineRule="auto"/>
        <w:ind w:left="0"/>
        <w:jc w:val="left"/>
        <w:outlineLvl w:val="2"/>
      </w:pPr>
      <w:bookmarkStart w:name="heading_3" w:id="3"/>
      <w:r>
        <w:rPr>
          <w:rFonts w:eastAsia="等线" w:ascii="Arial" w:cs="Arial" w:hAnsi="Arial"/>
          <w:b w:val="true"/>
          <w:sz w:val="30"/>
        </w:rPr>
        <w:t>2.2 核心优势</w:t>
      </w:r>
      <w:bookmarkEnd w:id="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7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这些优势使事件相机特别适用于高速运动、极端光照、实时性要求高的场景。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三、事件相机赋能图像/视频增强的三种范式</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3.1 时域补偿：利用高时间分辨率</w:t>
      </w:r>
      <w:bookmarkEnd w:id="5"/>
    </w:p>
    <w:p>
      <w:pPr>
        <w:spacing w:before="120" w:after="120" w:line="288" w:lineRule="auto"/>
        <w:ind w:left="0"/>
        <w:jc w:val="left"/>
      </w:pPr>
      <w:r>
        <w:rPr>
          <w:rFonts w:eastAsia="等线" w:ascii="Arial" w:cs="Arial" w:hAnsi="Arial"/>
          <w:sz w:val="22"/>
        </w:rPr>
        <w:t>传统相机因曝光时间和帧率限制，容易产生运动模糊、低帧率、卷帘畸变等问题。事件相机能够提供帧内与帧间连续的运动和纹理信息，有效补偿这些信息缺失。</w:t>
      </w:r>
    </w:p>
    <w:p>
      <w:pPr>
        <w:pStyle w:val="4"/>
        <w:spacing w:before="260" w:after="120" w:line="288" w:lineRule="auto"/>
        <w:ind w:left="0"/>
        <w:jc w:val="left"/>
        <w:outlineLvl w:val="3"/>
      </w:pPr>
      <w:bookmarkStart w:name="heading_6" w:id="6"/>
      <w:r>
        <w:rPr>
          <w:rFonts w:eastAsia="等线" w:ascii="Arial" w:cs="Arial" w:hAnsi="Arial"/>
          <w:b w:val="true"/>
          <w:sz w:val="28"/>
        </w:rPr>
        <w:t>（1）运动去模糊</w:t>
      </w:r>
      <w:bookmarkEnd w:id="6"/>
    </w:p>
    <w:p>
      <w:pPr>
        <w:numPr>
          <w:numId w:val="11"/>
        </w:numPr>
        <w:spacing w:before="120" w:after="120" w:line="288" w:lineRule="auto"/>
        <w:ind w:left="0"/>
        <w:jc w:val="left"/>
      </w:pPr>
      <w:r>
        <w:rPr>
          <w:rFonts w:eastAsia="等线" w:ascii="Arial" w:cs="Arial" w:hAnsi="Arial"/>
          <w:sz w:val="22"/>
        </w:rPr>
        <w:t>代表方法：EDI（Event-based Double Integral）模型（Pan等，2019/2022）</w:t>
      </w:r>
    </w:p>
    <w:p>
      <w:pPr>
        <w:numPr>
          <w:numId w:val="12"/>
        </w:numPr>
        <w:spacing w:before="120" w:after="120" w:line="288" w:lineRule="auto"/>
        <w:ind w:left="0"/>
        <w:jc w:val="left"/>
      </w:pPr>
      <w:r>
        <w:rPr>
          <w:rFonts w:eastAsia="等线" w:ascii="Arial" w:cs="Arial" w:hAnsi="Arial"/>
          <w:sz w:val="22"/>
        </w:rPr>
        <w:t>核心思想：模糊图像 ≈ 场景亮度的时间平均；事件 ≈ 亮度的微分。二者通过积分关系建立显式物理模型。</w:t>
      </w:r>
    </w:p>
    <w:p>
      <w:pPr>
        <w:numPr>
          <w:numId w:val="13"/>
        </w:numPr>
        <w:spacing w:before="120" w:after="120" w:line="288" w:lineRule="auto"/>
        <w:ind w:left="0"/>
        <w:jc w:val="left"/>
      </w:pPr>
      <w:r>
        <w:rPr>
          <w:rFonts w:eastAsia="等线" w:ascii="Arial" w:cs="Arial" w:hAnsi="Arial"/>
          <w:sz w:val="22"/>
        </w:rPr>
        <w:t>后续发展：从物理模型走向深度学习，引入光流预测、自监督训练、多尺度运动信息处理等。</w:t>
      </w:r>
    </w:p>
    <w:p>
      <w:pPr>
        <w:pStyle w:val="4"/>
        <w:spacing w:before="260" w:after="120" w:line="288" w:lineRule="auto"/>
        <w:ind w:left="0"/>
        <w:jc w:val="left"/>
        <w:outlineLvl w:val="3"/>
      </w:pPr>
      <w:bookmarkStart w:name="heading_7" w:id="7"/>
      <w:r>
        <w:rPr>
          <w:rFonts w:eastAsia="等线" w:ascii="Arial" w:cs="Arial" w:hAnsi="Arial"/>
          <w:b w:val="true"/>
          <w:sz w:val="28"/>
        </w:rPr>
        <w:t>（2）视频插帧</w:t>
      </w:r>
      <w:bookmarkEnd w:id="7"/>
    </w:p>
    <w:p>
      <w:pPr>
        <w:numPr>
          <w:numId w:val="14"/>
        </w:numPr>
        <w:spacing w:before="120" w:after="120" w:line="288" w:lineRule="auto"/>
        <w:ind w:left="0"/>
        <w:jc w:val="left"/>
      </w:pPr>
      <w:r>
        <w:rPr>
          <w:rFonts w:eastAsia="等线" w:ascii="Arial" w:cs="Arial" w:hAnsi="Arial"/>
          <w:sz w:val="22"/>
        </w:rPr>
        <w:t>代表方法：Timelens / Timelens++（Tulyakov等，2021/2022）</w:t>
      </w:r>
    </w:p>
    <w:p>
      <w:pPr>
        <w:numPr>
          <w:numId w:val="15"/>
        </w:numPr>
        <w:spacing w:before="120" w:after="120" w:line="288" w:lineRule="auto"/>
        <w:ind w:left="0"/>
        <w:jc w:val="left"/>
      </w:pPr>
      <w:r>
        <w:rPr>
          <w:rFonts w:eastAsia="等线" w:ascii="Arial" w:cs="Arial" w:hAnsi="Arial"/>
          <w:sz w:val="22"/>
        </w:rPr>
        <w:t>核心思想：利用两帧之间的连续事件流，分别基于合成和扭曲两种方式生成中间帧，互补融合输出。</w:t>
      </w:r>
    </w:p>
    <w:p>
      <w:pPr>
        <w:numPr>
          <w:numId w:val="16"/>
        </w:numPr>
        <w:spacing w:before="120" w:after="120" w:line="288" w:lineRule="auto"/>
        <w:ind w:left="0"/>
        <w:jc w:val="left"/>
      </w:pPr>
      <w:r>
        <w:rPr>
          <w:rFonts w:eastAsia="等线" w:ascii="Arial" w:cs="Arial" w:hAnsi="Arial"/>
          <w:sz w:val="22"/>
        </w:rPr>
        <w:t>优势：对非线性运动、运动模糊等情况具有较强鲁棒性。</w:t>
      </w:r>
    </w:p>
    <w:p>
      <w:pPr>
        <w:pStyle w:val="4"/>
        <w:spacing w:before="260" w:after="120" w:line="288" w:lineRule="auto"/>
        <w:ind w:left="0"/>
        <w:jc w:val="left"/>
        <w:outlineLvl w:val="3"/>
      </w:pPr>
      <w:bookmarkStart w:name="heading_8" w:id="8"/>
      <w:r>
        <w:rPr>
          <w:rFonts w:eastAsia="等线" w:ascii="Arial" w:cs="Arial" w:hAnsi="Arial"/>
          <w:b w:val="true"/>
          <w:sz w:val="28"/>
        </w:rPr>
        <w:t>（3）卷帘快门校正</w:t>
      </w:r>
      <w:bookmarkEnd w:id="8"/>
    </w:p>
    <w:p>
      <w:pPr>
        <w:numPr>
          <w:numId w:val="17"/>
        </w:numPr>
        <w:spacing w:before="120" w:after="120" w:line="288" w:lineRule="auto"/>
        <w:ind w:left="0"/>
        <w:jc w:val="left"/>
      </w:pPr>
      <w:r>
        <w:rPr>
          <w:rFonts w:eastAsia="等线" w:ascii="Arial" w:cs="Arial" w:hAnsi="Arial"/>
          <w:sz w:val="22"/>
        </w:rPr>
        <w:t>代表方法：EvUnroll（Zhou等，2022）</w:t>
      </w:r>
    </w:p>
    <w:p>
      <w:pPr>
        <w:numPr>
          <w:numId w:val="18"/>
        </w:numPr>
        <w:spacing w:before="120" w:after="120" w:line="288" w:lineRule="auto"/>
        <w:ind w:left="0"/>
        <w:jc w:val="left"/>
      </w:pPr>
      <w:r>
        <w:rPr>
          <w:rFonts w:eastAsia="等线" w:ascii="Arial" w:cs="Arial" w:hAnsi="Arial"/>
          <w:sz w:val="22"/>
        </w:rPr>
        <w:t>核心思想：利用事件流建立卷帘快门图像到全局快门图像之间的运动与强度映射关系。</w:t>
      </w:r>
    </w:p>
    <w:p>
      <w:pPr>
        <w:numPr>
          <w:numId w:val="19"/>
        </w:numPr>
        <w:spacing w:before="120" w:after="120" w:line="288" w:lineRule="auto"/>
        <w:ind w:left="0"/>
        <w:jc w:val="left"/>
      </w:pPr>
      <w:r>
        <w:rPr>
          <w:rFonts w:eastAsia="等线" w:ascii="Arial" w:cs="Arial" w:hAnsi="Arial"/>
          <w:sz w:val="22"/>
        </w:rPr>
        <w:t>后续发展：进一步实现了自监督学习（SelfUnroll）、端到端校正与去模糊联合处理。</w:t>
      </w:r>
    </w:p>
    <w:p>
      <w:pPr>
        <w:pStyle w:val="4"/>
        <w:spacing w:before="260" w:after="120" w:line="288" w:lineRule="auto"/>
        <w:ind w:left="0"/>
        <w:jc w:val="left"/>
        <w:outlineLvl w:val="3"/>
      </w:pPr>
      <w:bookmarkStart w:name="heading_9" w:id="9"/>
      <w:r>
        <w:rPr>
          <w:rFonts w:eastAsia="等线" w:ascii="Arial" w:cs="Arial" w:hAnsi="Arial"/>
          <w:b w:val="true"/>
          <w:sz w:val="28"/>
        </w:rPr>
        <w:t>（4）联合任务</w:t>
      </w:r>
      <w:bookmarkEnd w:id="9"/>
    </w:p>
    <w:p>
      <w:pPr>
        <w:spacing w:before="120" w:after="120" w:line="288" w:lineRule="auto"/>
        <w:ind w:left="0"/>
        <w:jc w:val="left"/>
      </w:pPr>
      <w:r>
        <w:rPr>
          <w:rFonts w:eastAsia="等线" w:ascii="Arial" w:cs="Arial" w:hAnsi="Arial"/>
          <w:sz w:val="22"/>
        </w:rPr>
        <w:t>实际场景中，多种降质往往同时存在（如运动模糊 + 低帧率 + 卷帘畸变）。近年研究逐渐从单一任务扩展到联合任务：</w:t>
      </w:r>
    </w:p>
    <w:p>
      <w:pPr>
        <w:numPr>
          <w:numId w:val="20"/>
        </w:numPr>
        <w:spacing w:before="120" w:after="120" w:line="288" w:lineRule="auto"/>
        <w:ind w:left="0"/>
        <w:jc w:val="left"/>
      </w:pPr>
      <w:r>
        <w:rPr>
          <w:rFonts w:eastAsia="等线" w:ascii="Arial" w:cs="Arial" w:hAnsi="Arial"/>
          <w:sz w:val="22"/>
        </w:rPr>
        <w:t>去模糊 + 插帧：EVDI</w:t>
      </w:r>
    </w:p>
    <w:p>
      <w:pPr>
        <w:numPr>
          <w:numId w:val="21"/>
        </w:numPr>
        <w:spacing w:before="120" w:after="120" w:line="288" w:lineRule="auto"/>
        <w:ind w:left="0"/>
        <w:jc w:val="left"/>
      </w:pPr>
      <w:r>
        <w:rPr>
          <w:rFonts w:eastAsia="等线" w:ascii="Arial" w:cs="Arial" w:hAnsi="Arial"/>
          <w:sz w:val="22"/>
        </w:rPr>
        <w:t>去模糊 + 卷帘校正：时间引导跨模态注意模型</w:t>
      </w:r>
    </w:p>
    <w:p>
      <w:pPr>
        <w:numPr>
          <w:numId w:val="22"/>
        </w:numPr>
        <w:spacing w:before="120" w:after="120" w:line="288" w:lineRule="auto"/>
        <w:ind w:left="0"/>
        <w:jc w:val="left"/>
      </w:pPr>
      <w:r>
        <w:rPr>
          <w:rFonts w:eastAsia="等线" w:ascii="Arial" w:cs="Arial" w:hAnsi="Arial"/>
          <w:sz w:val="22"/>
        </w:rPr>
        <w:t>卷帘校正 + 插帧：SelfUnroll-M</w:t>
      </w:r>
    </w:p>
    <w:p>
      <w:pPr>
        <w:numPr>
          <w:numId w:val="23"/>
        </w:numPr>
        <w:spacing w:before="120" w:after="120" w:line="288" w:lineRule="auto"/>
        <w:ind w:left="0"/>
        <w:jc w:val="left"/>
      </w:pPr>
      <w:r>
        <w:rPr>
          <w:rFonts w:eastAsia="等线" w:ascii="Arial" w:cs="Arial" w:hAnsi="Arial"/>
          <w:sz w:val="22"/>
        </w:rPr>
        <w:t>三者统一：UniINR（统一时空隐式神经表示）</w:t>
      </w:r>
    </w:p>
    <w:p>
      <w:pPr>
        <w:pStyle w:val="3"/>
        <w:spacing w:before="300" w:after="120" w:line="288" w:lineRule="auto"/>
        <w:ind w:left="0"/>
        <w:jc w:val="left"/>
        <w:outlineLvl w:val="2"/>
      </w:pPr>
      <w:bookmarkStart w:name="heading_10" w:id="10"/>
      <w:r>
        <w:rPr>
          <w:rFonts w:eastAsia="等线" w:ascii="Arial" w:cs="Arial" w:hAnsi="Arial"/>
          <w:b w:val="true"/>
          <w:sz w:val="30"/>
        </w:rPr>
        <w:t>3.2 空域补偿：利用高时间分辨率间接提升空间分辨率</w:t>
      </w:r>
      <w:bookmarkEnd w:id="10"/>
    </w:p>
    <w:p>
      <w:pPr>
        <w:spacing w:before="120" w:after="120" w:line="288" w:lineRule="auto"/>
        <w:ind w:left="0"/>
        <w:jc w:val="left"/>
      </w:pPr>
      <w:r>
        <w:rPr>
          <w:rFonts w:eastAsia="等线" w:ascii="Arial" w:cs="Arial" w:hAnsi="Arial"/>
          <w:sz w:val="22"/>
        </w:rPr>
        <w:t>事件流代表了场景亮度的时域梯度，基于光流一致性假设，可以将其与图像的空域梯度建立关联，从而用于超分辨率任务。</w:t>
      </w:r>
    </w:p>
    <w:p>
      <w:pPr>
        <w:numPr>
          <w:numId w:val="24"/>
        </w:numPr>
        <w:spacing w:before="120" w:after="120" w:line="288" w:lineRule="auto"/>
        <w:ind w:left="0"/>
        <w:jc w:val="left"/>
      </w:pPr>
      <w:r>
        <w:rPr>
          <w:rFonts w:eastAsia="等线" w:ascii="Arial" w:cs="Arial" w:hAnsi="Arial"/>
          <w:sz w:val="22"/>
        </w:rPr>
        <w:t>代表方法：EventZoom、CrossZoom</w:t>
      </w:r>
    </w:p>
    <w:p>
      <w:pPr>
        <w:numPr>
          <w:numId w:val="25"/>
        </w:numPr>
        <w:spacing w:before="120" w:after="120" w:line="288" w:lineRule="auto"/>
        <w:ind w:left="0"/>
        <w:jc w:val="left"/>
      </w:pPr>
      <w:r>
        <w:rPr>
          <w:rFonts w:eastAsia="等线" w:ascii="Arial" w:cs="Arial" w:hAnsi="Arial"/>
          <w:sz w:val="22"/>
        </w:rPr>
        <w:t>核心思想：利用高分辨率图像引导事件超分辨率，或利用模糊高分辨率图像与低分辨率事件进行跨模态互补增强。</w:t>
      </w:r>
    </w:p>
    <w:p>
      <w:pPr>
        <w:pStyle w:val="3"/>
        <w:spacing w:before="300" w:after="120" w:line="288" w:lineRule="auto"/>
        <w:ind w:left="0"/>
        <w:jc w:val="left"/>
        <w:outlineLvl w:val="2"/>
      </w:pPr>
      <w:bookmarkStart w:name="heading_11" w:id="11"/>
      <w:r>
        <w:rPr>
          <w:rFonts w:eastAsia="等线" w:ascii="Arial" w:cs="Arial" w:hAnsi="Arial"/>
          <w:b w:val="true"/>
          <w:sz w:val="30"/>
        </w:rPr>
        <w:t>3.3 动态范围补偿：利用高动态范围</w:t>
      </w:r>
      <w:bookmarkEnd w:id="11"/>
    </w:p>
    <w:p>
      <w:pPr>
        <w:spacing w:before="120" w:after="120" w:line="288" w:lineRule="auto"/>
        <w:ind w:left="0"/>
        <w:jc w:val="left"/>
      </w:pPr>
      <w:r>
        <w:rPr>
          <w:rFonts w:eastAsia="等线" w:ascii="Arial" w:cs="Arial" w:hAnsi="Arial"/>
          <w:sz w:val="22"/>
        </w:rPr>
        <w:t>极端光照场景下（过曝/欠曝），传统相机丢失大量细节，而事件相机（≈120dB）能够保留纹理信息。</w:t>
      </w:r>
    </w:p>
    <w:p>
      <w:pPr>
        <w:numPr>
          <w:numId w:val="26"/>
        </w:numPr>
        <w:spacing w:before="120" w:after="120" w:line="288" w:lineRule="auto"/>
        <w:ind w:left="0"/>
        <w:jc w:val="left"/>
      </w:pPr>
      <w:r>
        <w:rPr>
          <w:rFonts w:eastAsia="等线" w:ascii="Arial" w:cs="Arial" w:hAnsi="Arial"/>
          <w:sz w:val="22"/>
        </w:rPr>
        <w:t>代表方法：EHDR（首个结合包围曝光LDR图像与事件的HDR重建）、HDRve‑Net（事件引导LDR视频HDR重建）</w:t>
      </w:r>
    </w:p>
    <w:p>
      <w:pPr>
        <w:numPr>
          <w:numId w:val="27"/>
        </w:numPr>
        <w:spacing w:before="120" w:after="120" w:line="288" w:lineRule="auto"/>
        <w:ind w:left="0"/>
        <w:jc w:val="left"/>
      </w:pPr>
      <w:r>
        <w:rPr>
          <w:rFonts w:eastAsia="等线" w:ascii="Arial" w:cs="Arial" w:hAnsi="Arial"/>
          <w:sz w:val="22"/>
        </w:rPr>
        <w:t>更高层次：同时利用高时间分辨率与高动态范围，应对“低动态 + 运动模糊 + 卷帘畸变”混合退化，如Self‑EHDRI。</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四、其他图像重建任务</w:t>
      </w:r>
      <w:bookmarkEnd w:id="12"/>
    </w:p>
    <w:p>
      <w:pPr>
        <w:spacing w:before="120" w:after="120" w:line="288" w:lineRule="auto"/>
        <w:ind w:left="0"/>
        <w:jc w:val="left"/>
      </w:pPr>
      <w:r>
        <w:rPr>
          <w:rFonts w:eastAsia="等线" w:ascii="Arial" w:cs="Arial" w:hAnsi="Arial"/>
          <w:sz w:val="22"/>
        </w:rPr>
        <w:t>事件相机还可应用于：</w:t>
      </w:r>
    </w:p>
    <w:p>
      <w:pPr>
        <w:numPr>
          <w:numId w:val="28"/>
        </w:numPr>
        <w:spacing w:before="120" w:after="120" w:line="288" w:lineRule="auto"/>
        <w:ind w:left="0"/>
        <w:jc w:val="left"/>
      </w:pPr>
      <w:r>
        <w:rPr>
          <w:rFonts w:eastAsia="等线" w:ascii="Arial" w:cs="Arial" w:hAnsi="Arial"/>
          <w:sz w:val="22"/>
        </w:rPr>
        <w:t>图像去遮挡：事件合成孔径成像（E‑SAI），有效处理稠密遮挡</w:t>
      </w:r>
    </w:p>
    <w:p>
      <w:pPr>
        <w:numPr>
          <w:numId w:val="29"/>
        </w:numPr>
        <w:spacing w:before="120" w:after="120" w:line="288" w:lineRule="auto"/>
        <w:ind w:left="0"/>
        <w:jc w:val="left"/>
      </w:pPr>
      <w:r>
        <w:rPr>
          <w:rFonts w:eastAsia="等线" w:ascii="Arial" w:cs="Arial" w:hAnsi="Arial"/>
          <w:sz w:val="22"/>
        </w:rPr>
        <w:t>密集光流估计：E‑RAFT，结合事件时间信息与循环神经网络</w:t>
      </w:r>
    </w:p>
    <w:p>
      <w:pPr>
        <w:numPr>
          <w:numId w:val="30"/>
        </w:numPr>
        <w:spacing w:before="120" w:after="120" w:line="288" w:lineRule="auto"/>
        <w:ind w:left="0"/>
        <w:jc w:val="left"/>
      </w:pPr>
      <w:r>
        <w:rPr>
          <w:rFonts w:eastAsia="等线" w:ascii="Arial" w:cs="Arial" w:hAnsi="Arial"/>
          <w:sz w:val="22"/>
        </w:rPr>
        <w:t>实时光度立体视觉：EventPS，30帧/s表面法线重建</w:t>
      </w:r>
    </w:p>
    <w:p>
      <w:pPr>
        <w:numPr>
          <w:numId w:val="31"/>
        </w:numPr>
        <w:spacing w:before="120" w:after="120" w:line="288" w:lineRule="auto"/>
        <w:ind w:left="0"/>
        <w:jc w:val="left"/>
      </w:pPr>
      <w:r>
        <w:rPr>
          <w:rFonts w:eastAsia="等线" w:ascii="Arial" w:cs="Arial" w:hAnsi="Arial"/>
          <w:sz w:val="22"/>
        </w:rPr>
        <w:t>特征跟踪：事件驱动的连续跟踪，克服运动模糊与光照变化</w:t>
      </w:r>
    </w:p>
    <w:p>
      <w:pPr>
        <w:spacing w:before="120" w:after="120" w:line="288" w:lineRule="auto"/>
        <w:ind w:left="0"/>
        <w:jc w:val="left"/>
      </w:pPr>
      <w:r>
        <w:rPr>
          <w:rFonts w:eastAsia="等线" w:ascii="Arial" w:cs="Arial" w:hAnsi="Arial"/>
          <w:sz w:val="22"/>
        </w:rPr>
        <w:t>这些应用进一步拓展了事件相机在传统视觉增强技术难以覆盖的领域中的潜力。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五、数据集与评价指标</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5.1 典型数据集</w:t>
      </w:r>
      <w:bookmarkEnd w:id="14"/>
    </w:p>
    <w:p>
      <w:pPr>
        <w:spacing w:before="120" w:after="120" w:line="288" w:lineRule="auto"/>
        <w:ind w:left="0"/>
      </w:pPr>
      <w:r>
        <w:object>
          <v:shape id="_x0000_i1026" style="width:414pt;height:14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5" w:id="15"/>
      <w:r>
        <w:rPr>
          <w:rFonts w:eastAsia="等线" w:ascii="Arial" w:cs="Arial" w:hAnsi="Arial"/>
          <w:b w:val="true"/>
          <w:sz w:val="30"/>
        </w:rPr>
        <w:t>5.2 常用评价指标</w:t>
      </w:r>
      <w:bookmarkEnd w:id="15"/>
    </w:p>
    <w:p>
      <w:pPr>
        <w:numPr>
          <w:numId w:val="32"/>
        </w:numPr>
        <w:spacing w:before="120" w:after="120" w:line="288" w:lineRule="auto"/>
        <w:ind w:left="0"/>
        <w:jc w:val="left"/>
      </w:pPr>
      <w:r>
        <w:rPr>
          <w:rFonts w:eastAsia="等线" w:ascii="Arial" w:cs="Arial" w:hAnsi="Arial"/>
          <w:sz w:val="22"/>
        </w:rPr>
        <w:t>有参考指标：PSNR、SSIM、LPIPS（更符合人类感知）</w:t>
      </w:r>
    </w:p>
    <w:p>
      <w:pPr>
        <w:numPr>
          <w:numId w:val="33"/>
        </w:numPr>
        <w:spacing w:before="120" w:after="120" w:line="288" w:lineRule="auto"/>
        <w:ind w:left="0"/>
        <w:jc w:val="left"/>
      </w:pPr>
      <w:r>
        <w:rPr>
          <w:rFonts w:eastAsia="等线" w:ascii="Arial" w:cs="Arial" w:hAnsi="Arial"/>
          <w:sz w:val="22"/>
        </w:rPr>
        <w:t>无参考指标：NIQE、IL-NIQE、BIQA、DB-CNN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六、当前挑战与发展趋势</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6.1 主要挑战</w:t>
      </w:r>
      <w:bookmarkEnd w:id="17"/>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8" w:id="18"/>
      <w:r>
        <w:rPr>
          <w:rFonts w:eastAsia="等线" w:ascii="Arial" w:cs="Arial" w:hAnsi="Arial"/>
          <w:b w:val="true"/>
          <w:sz w:val="30"/>
        </w:rPr>
        <w:t>6.2 发展趋势</w:t>
      </w:r>
      <w:bookmarkEnd w:id="18"/>
    </w:p>
    <w:p>
      <w:pPr>
        <w:numPr>
          <w:numId w:val="34"/>
        </w:numPr>
        <w:spacing w:before="120" w:after="120" w:line="288" w:lineRule="auto"/>
        <w:ind w:left="0"/>
        <w:jc w:val="left"/>
      </w:pPr>
      <w:r>
        <w:rPr>
          <w:rFonts w:eastAsia="等线" w:ascii="Arial" w:cs="Arial" w:hAnsi="Arial"/>
          <w:sz w:val="22"/>
        </w:rPr>
        <w:t>芯片层面：从科研走向商业量产。国外iniVation、Prophesee；国内豪威、锐思智芯、时讯科技等相继推出高分辨率、低功耗芯片。</w:t>
      </w:r>
    </w:p>
    <w:p>
      <w:pPr>
        <w:numPr>
          <w:numId w:val="35"/>
        </w:numPr>
        <w:spacing w:before="120" w:after="120" w:line="288" w:lineRule="auto"/>
        <w:ind w:left="0"/>
        <w:jc w:val="left"/>
      </w:pPr>
      <w:r>
        <w:rPr>
          <w:rFonts w:eastAsia="等线" w:ascii="Arial" w:cs="Arial" w:hAnsi="Arial"/>
          <w:sz w:val="22"/>
        </w:rPr>
        <w:t>算法层面：从单任务走向多任务联合；从监督学习走向自监督/弱监督；从物理模型走向深度学习。</w:t>
      </w:r>
    </w:p>
    <w:p>
      <w:pPr>
        <w:numPr>
          <w:numId w:val="36"/>
        </w:numPr>
        <w:spacing w:before="120" w:after="120" w:line="288" w:lineRule="auto"/>
        <w:ind w:left="0"/>
        <w:jc w:val="left"/>
      </w:pPr>
      <w:r>
        <w:rPr>
          <w:rFonts w:eastAsia="等线" w:ascii="Arial" w:cs="Arial" w:hAnsi="Arial"/>
          <w:sz w:val="22"/>
        </w:rPr>
        <w:t>应用层面：自动驾驶、机器人、手机摄影、工业检测等领域的落地加速。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七、个人思考与启发</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7.1 对多模态融合的借鉴意义</w:t>
      </w:r>
      <w:bookmarkEnd w:id="20"/>
    </w:p>
    <w:p>
      <w:pPr>
        <w:spacing w:before="120" w:after="120" w:line="288" w:lineRule="auto"/>
        <w:ind w:left="0"/>
        <w:jc w:val="left"/>
      </w:pPr>
      <w:r>
        <w:rPr>
          <w:rFonts w:eastAsia="等线" w:ascii="Arial" w:cs="Arial" w:hAnsi="Arial"/>
          <w:sz w:val="22"/>
        </w:rPr>
        <w:t>本文最核心的方法论启示在于：不同模态的信息具有互补性。事件相机提供高时间分辨率与高动态范围，传统图像提供绝对亮度与空间纹理。通过显式建模二者之间的关系（物理模型或学习模型），可以解决单一模态难以处理的病态问题。</w:t>
      </w:r>
    </w:p>
    <w:p>
      <w:pPr>
        <w:spacing w:before="120" w:after="120" w:line="288" w:lineRule="auto"/>
        <w:ind w:left="0"/>
        <w:jc w:val="left"/>
      </w:pPr>
      <w:r>
        <w:rPr>
          <w:rFonts w:eastAsia="等线" w:ascii="Arial" w:cs="Arial" w:hAnsi="Arial"/>
          <w:sz w:val="22"/>
        </w:rPr>
        <w:t>这一思路可以迁移到其他多模态融合任务中，例如：</w:t>
      </w:r>
    </w:p>
    <w:p>
      <w:pPr>
        <w:numPr>
          <w:numId w:val="37"/>
        </w:numPr>
        <w:spacing w:before="120" w:after="120" w:line="288" w:lineRule="auto"/>
        <w:ind w:left="0"/>
        <w:jc w:val="left"/>
      </w:pPr>
      <w:r>
        <w:rPr>
          <w:rFonts w:eastAsia="等线" w:ascii="Arial" w:cs="Arial" w:hAnsi="Arial"/>
          <w:sz w:val="22"/>
        </w:rPr>
        <w:t>文本 + 图像 → 跨模态检索</w:t>
      </w:r>
    </w:p>
    <w:p>
      <w:pPr>
        <w:numPr>
          <w:numId w:val="38"/>
        </w:numPr>
        <w:spacing w:before="120" w:after="120" w:line="288" w:lineRule="auto"/>
        <w:ind w:left="0"/>
        <w:jc w:val="left"/>
      </w:pPr>
      <w:r>
        <w:rPr>
          <w:rFonts w:eastAsia="等线" w:ascii="Arial" w:cs="Arial" w:hAnsi="Arial"/>
          <w:sz w:val="22"/>
        </w:rPr>
        <w:t>行为序列 + 静态属性 → 用户画像</w:t>
      </w:r>
    </w:p>
    <w:p>
      <w:pPr>
        <w:numPr>
          <w:numId w:val="39"/>
        </w:numPr>
        <w:spacing w:before="120" w:after="120" w:line="288" w:lineRule="auto"/>
        <w:ind w:left="0"/>
        <w:jc w:val="left"/>
      </w:pPr>
      <w:r>
        <w:rPr>
          <w:rFonts w:eastAsia="等线" w:ascii="Arial" w:cs="Arial" w:hAnsi="Arial"/>
          <w:sz w:val="22"/>
        </w:rPr>
        <w:t>时序信号 + 语义标签 → 事件预测</w:t>
      </w:r>
    </w:p>
    <w:p>
      <w:pPr>
        <w:pStyle w:val="3"/>
        <w:spacing w:before="300" w:after="120" w:line="288" w:lineRule="auto"/>
        <w:ind w:left="0"/>
        <w:jc w:val="left"/>
        <w:outlineLvl w:val="2"/>
      </w:pPr>
      <w:bookmarkStart w:name="heading_21" w:id="21"/>
      <w:r>
        <w:rPr>
          <w:rFonts w:eastAsia="等线" w:ascii="Arial" w:cs="Arial" w:hAnsi="Arial"/>
          <w:b w:val="true"/>
          <w:sz w:val="30"/>
        </w:rPr>
        <w:t>7.2 对时序建模的启发</w:t>
      </w:r>
      <w:bookmarkEnd w:id="21"/>
    </w:p>
    <w:p>
      <w:pPr>
        <w:spacing w:before="120" w:after="120" w:line="288" w:lineRule="auto"/>
        <w:ind w:left="0"/>
        <w:jc w:val="left"/>
      </w:pPr>
      <w:r>
        <w:rPr>
          <w:rFonts w:eastAsia="等线" w:ascii="Arial" w:cs="Arial" w:hAnsi="Arial"/>
          <w:sz w:val="22"/>
        </w:rPr>
        <w:t>事件流的异步、稀疏、高时间分辨率特性，挑战了传统以“帧”为单位的处理范式。隐式神经表示（INR） 的引入（如UniINR）为连续时间建模提供了新思路，值得在自身研究中尝试。</w:t>
      </w:r>
    </w:p>
    <w:p>
      <w:pPr>
        <w:pStyle w:val="3"/>
        <w:spacing w:before="300" w:after="120" w:line="288" w:lineRule="auto"/>
        <w:ind w:left="0"/>
        <w:jc w:val="left"/>
        <w:outlineLvl w:val="2"/>
      </w:pPr>
      <w:bookmarkStart w:name="heading_22" w:id="22"/>
      <w:r>
        <w:rPr>
          <w:rFonts w:eastAsia="等线" w:ascii="Arial" w:cs="Arial" w:hAnsi="Arial"/>
          <w:b w:val="true"/>
          <w:sz w:val="30"/>
        </w:rPr>
        <w:t>7.3 不足与展望</w:t>
      </w:r>
      <w:bookmarkEnd w:id="22"/>
    </w:p>
    <w:p>
      <w:pPr>
        <w:spacing w:before="120" w:after="120" w:line="288" w:lineRule="auto"/>
        <w:ind w:left="0"/>
        <w:jc w:val="left"/>
      </w:pPr>
      <w:r>
        <w:rPr>
          <w:rFonts w:eastAsia="等线" w:ascii="Arial" w:cs="Arial" w:hAnsi="Arial"/>
          <w:sz w:val="22"/>
        </w:rPr>
        <w:t>事件相机目前仍受限于：低光照性能、空间分辨率（相比传统CMOS）、算法实时性等问题。未来随着芯片技术升级和算法优化（如感算一体、事件驱动神经网络），其在消费级设备（如手机）中的大规模应用值得期待。</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八、总结</w:t>
      </w:r>
      <w:bookmarkEnd w:id="23"/>
    </w:p>
    <w:p>
      <w:pPr>
        <w:spacing w:before="120" w:after="120" w:line="288" w:lineRule="auto"/>
        <w:ind w:left="0"/>
        <w:jc w:val="left"/>
      </w:pPr>
      <w:r>
        <w:rPr>
          <w:rFonts w:eastAsia="等线" w:ascii="Arial" w:cs="Arial" w:hAnsi="Arial"/>
          <w:sz w:val="22"/>
        </w:rPr>
        <w:t>本文系统梳理了以事件相机为核心的类脑视觉增强技术，从基本原理到三大增强范式（时域、空域、动态范围），再到数据集、评价指标、技术挑战与发展趋势，内容全面、逻辑清晰。通过学习本文，不仅掌握了事件相机这一前沿传感器技术，也加深了对多模态融合、时序建模等通用方法论的理解，对后续研究与学习具有重要参考价值。</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81922">
    <w:lvl>
      <w:numFmt w:val="bullet"/>
      <w:suff w:val="tab"/>
      <w:lvlText w:val="•"/>
      <w:rPr>
        <w:color w:val="3370ff"/>
      </w:rPr>
    </w:lvl>
  </w:abstractNum>
  <w:abstractNum w:abstractNumId="2081923">
    <w:lvl>
      <w:numFmt w:val="bullet"/>
      <w:suff w:val="tab"/>
      <w:lvlText w:val="•"/>
      <w:rPr>
        <w:color w:val="3370ff"/>
      </w:rPr>
    </w:lvl>
  </w:abstractNum>
  <w:abstractNum w:abstractNumId="2081924">
    <w:lvl>
      <w:numFmt w:val="bullet"/>
      <w:suff w:val="tab"/>
      <w:lvlText w:val="•"/>
      <w:rPr>
        <w:color w:val="3370ff"/>
      </w:rPr>
    </w:lvl>
  </w:abstractNum>
  <w:abstractNum w:abstractNumId="2081925">
    <w:lvl>
      <w:numFmt w:val="bullet"/>
      <w:suff w:val="tab"/>
      <w:lvlText w:val="•"/>
      <w:rPr>
        <w:color w:val="3370ff"/>
      </w:rPr>
    </w:lvl>
  </w:abstractNum>
  <w:abstractNum w:abstractNumId="2081926">
    <w:lvl>
      <w:numFmt w:val="bullet"/>
      <w:suff w:val="tab"/>
      <w:lvlText w:val="•"/>
      <w:rPr>
        <w:color w:val="3370ff"/>
      </w:rPr>
    </w:lvl>
  </w:abstractNum>
  <w:abstractNum w:abstractNumId="2081927">
    <w:lvl>
      <w:numFmt w:val="bullet"/>
      <w:suff w:val="tab"/>
      <w:lvlText w:val="•"/>
      <w:rPr>
        <w:color w:val="3370ff"/>
      </w:rPr>
    </w:lvl>
  </w:abstractNum>
  <w:abstractNum w:abstractNumId="2081928">
    <w:lvl>
      <w:numFmt w:val="bullet"/>
      <w:suff w:val="tab"/>
      <w:lvlText w:val="•"/>
      <w:rPr>
        <w:color w:val="3370ff"/>
      </w:rPr>
    </w:lvl>
  </w:abstractNum>
  <w:abstractNum w:abstractNumId="2081929">
    <w:lvl>
      <w:numFmt w:val="bullet"/>
      <w:suff w:val="tab"/>
      <w:lvlText w:val="•"/>
      <w:rPr>
        <w:color w:val="3370ff"/>
      </w:rPr>
    </w:lvl>
  </w:abstractNum>
  <w:abstractNum w:abstractNumId="2081930">
    <w:lvl>
      <w:numFmt w:val="bullet"/>
      <w:suff w:val="tab"/>
      <w:lvlText w:val="•"/>
      <w:rPr>
        <w:color w:val="3370ff"/>
      </w:rPr>
    </w:lvl>
  </w:abstractNum>
  <w:abstractNum w:abstractNumId="2081931">
    <w:lvl>
      <w:numFmt w:val="bullet"/>
      <w:suff w:val="tab"/>
      <w:lvlText w:val="•"/>
      <w:rPr>
        <w:color w:val="3370ff"/>
      </w:rPr>
    </w:lvl>
  </w:abstractNum>
  <w:abstractNum w:abstractNumId="2081932">
    <w:lvl>
      <w:numFmt w:val="bullet"/>
      <w:suff w:val="tab"/>
      <w:lvlText w:val="•"/>
      <w:rPr>
        <w:color w:val="3370ff"/>
      </w:rPr>
    </w:lvl>
  </w:abstractNum>
  <w:abstractNum w:abstractNumId="2081933">
    <w:lvl>
      <w:numFmt w:val="bullet"/>
      <w:suff w:val="tab"/>
      <w:lvlText w:val="•"/>
      <w:rPr>
        <w:color w:val="3370ff"/>
      </w:rPr>
    </w:lvl>
  </w:abstractNum>
  <w:abstractNum w:abstractNumId="2081934">
    <w:lvl>
      <w:numFmt w:val="bullet"/>
      <w:suff w:val="tab"/>
      <w:lvlText w:val="•"/>
      <w:rPr>
        <w:color w:val="3370ff"/>
      </w:rPr>
    </w:lvl>
  </w:abstractNum>
  <w:abstractNum w:abstractNumId="2081935">
    <w:lvl>
      <w:numFmt w:val="bullet"/>
      <w:suff w:val="tab"/>
      <w:lvlText w:val="•"/>
      <w:rPr>
        <w:color w:val="3370ff"/>
      </w:rPr>
    </w:lvl>
  </w:abstractNum>
  <w:abstractNum w:abstractNumId="2081936">
    <w:lvl>
      <w:numFmt w:val="bullet"/>
      <w:suff w:val="tab"/>
      <w:lvlText w:val="•"/>
      <w:rPr>
        <w:color w:val="3370ff"/>
      </w:rPr>
    </w:lvl>
  </w:abstractNum>
  <w:abstractNum w:abstractNumId="2081937">
    <w:lvl>
      <w:numFmt w:val="bullet"/>
      <w:suff w:val="tab"/>
      <w:lvlText w:val="•"/>
      <w:rPr>
        <w:color w:val="3370ff"/>
      </w:rPr>
    </w:lvl>
  </w:abstractNum>
  <w:abstractNum w:abstractNumId="2081938">
    <w:lvl>
      <w:numFmt w:val="bullet"/>
      <w:suff w:val="tab"/>
      <w:lvlText w:val="•"/>
      <w:rPr>
        <w:color w:val="3370ff"/>
      </w:rPr>
    </w:lvl>
  </w:abstractNum>
  <w:abstractNum w:abstractNumId="2081939">
    <w:lvl>
      <w:numFmt w:val="bullet"/>
      <w:suff w:val="tab"/>
      <w:lvlText w:val="•"/>
      <w:rPr>
        <w:color w:val="3370ff"/>
      </w:rPr>
    </w:lvl>
  </w:abstractNum>
  <w:abstractNum w:abstractNumId="2081940">
    <w:lvl>
      <w:numFmt w:val="bullet"/>
      <w:suff w:val="tab"/>
      <w:lvlText w:val="•"/>
      <w:rPr>
        <w:color w:val="3370ff"/>
      </w:rPr>
    </w:lvl>
  </w:abstractNum>
  <w:abstractNum w:abstractNumId="2081941">
    <w:lvl>
      <w:numFmt w:val="bullet"/>
      <w:suff w:val="tab"/>
      <w:lvlText w:val="•"/>
      <w:rPr>
        <w:color w:val="3370ff"/>
      </w:rPr>
    </w:lvl>
  </w:abstractNum>
  <w:abstractNum w:abstractNumId="2081942">
    <w:lvl>
      <w:numFmt w:val="bullet"/>
      <w:suff w:val="tab"/>
      <w:lvlText w:val="•"/>
      <w:rPr>
        <w:color w:val="3370ff"/>
      </w:rPr>
    </w:lvl>
  </w:abstractNum>
  <w:abstractNum w:abstractNumId="2081943">
    <w:lvl>
      <w:numFmt w:val="bullet"/>
      <w:suff w:val="tab"/>
      <w:lvlText w:val="•"/>
      <w:rPr>
        <w:color w:val="3370ff"/>
      </w:rPr>
    </w:lvl>
  </w:abstractNum>
  <w:abstractNum w:abstractNumId="2081944">
    <w:lvl>
      <w:numFmt w:val="bullet"/>
      <w:suff w:val="tab"/>
      <w:lvlText w:val="•"/>
      <w:rPr>
        <w:color w:val="3370ff"/>
      </w:rPr>
    </w:lvl>
  </w:abstractNum>
  <w:abstractNum w:abstractNumId="2081945">
    <w:lvl>
      <w:numFmt w:val="bullet"/>
      <w:suff w:val="tab"/>
      <w:lvlText w:val="•"/>
      <w:rPr>
        <w:color w:val="3370ff"/>
      </w:rPr>
    </w:lvl>
  </w:abstractNum>
  <w:abstractNum w:abstractNumId="2081946">
    <w:lvl>
      <w:numFmt w:val="bullet"/>
      <w:suff w:val="tab"/>
      <w:lvlText w:val="•"/>
      <w:rPr>
        <w:color w:val="3370ff"/>
      </w:rPr>
    </w:lvl>
  </w:abstractNum>
  <w:abstractNum w:abstractNumId="2081947">
    <w:lvl>
      <w:numFmt w:val="bullet"/>
      <w:suff w:val="tab"/>
      <w:lvlText w:val="•"/>
      <w:rPr>
        <w:color w:val="3370ff"/>
      </w:rPr>
    </w:lvl>
  </w:abstractNum>
  <w:abstractNum w:abstractNumId="2081948">
    <w:lvl>
      <w:numFmt w:val="bullet"/>
      <w:suff w:val="tab"/>
      <w:lvlText w:val="•"/>
      <w:rPr>
        <w:color w:val="3370ff"/>
      </w:rPr>
    </w:lvl>
  </w:abstractNum>
  <w:abstractNum w:abstractNumId="2081949">
    <w:lvl>
      <w:numFmt w:val="bullet"/>
      <w:suff w:val="tab"/>
      <w:lvlText w:val="•"/>
      <w:rPr>
        <w:color w:val="3370ff"/>
      </w:rPr>
    </w:lvl>
  </w:abstractNum>
  <w:abstractNum w:abstractNumId="2081950">
    <w:lvl>
      <w:numFmt w:val="bullet"/>
      <w:suff w:val="tab"/>
      <w:lvlText w:val="•"/>
      <w:rPr>
        <w:color w:val="3370ff"/>
      </w:rPr>
    </w:lvl>
  </w:abstractNum>
  <w:abstractNum w:abstractNumId="2081951">
    <w:lvl>
      <w:numFmt w:val="bullet"/>
      <w:suff w:val="tab"/>
      <w:lvlText w:val="•"/>
      <w:rPr>
        <w:color w:val="3370ff"/>
      </w:rPr>
    </w:lvl>
  </w:abstractNum>
  <w:abstractNum w:abstractNumId="2081952">
    <w:lvl>
      <w:numFmt w:val="bullet"/>
      <w:suff w:val="tab"/>
      <w:lvlText w:val="•"/>
      <w:rPr>
        <w:color w:val="3370ff"/>
      </w:rPr>
    </w:lvl>
  </w:abstractNum>
  <w:abstractNum w:abstractNumId="2081953">
    <w:lvl>
      <w:numFmt w:val="bullet"/>
      <w:suff w:val="tab"/>
      <w:lvlText w:val="•"/>
      <w:rPr>
        <w:color w:val="3370ff"/>
      </w:rPr>
    </w:lvl>
  </w:abstractNum>
  <w:abstractNum w:abstractNumId="2081954">
    <w:lvl>
      <w:numFmt w:val="bullet"/>
      <w:suff w:val="tab"/>
      <w:lvlText w:val="•"/>
      <w:rPr>
        <w:color w:val="3370ff"/>
      </w:rPr>
    </w:lvl>
  </w:abstractNum>
  <w:abstractNum w:abstractNumId="2081955">
    <w:lvl>
      <w:numFmt w:val="bullet"/>
      <w:suff w:val="tab"/>
      <w:lvlText w:val="•"/>
      <w:rPr>
        <w:color w:val="3370ff"/>
      </w:rPr>
    </w:lvl>
  </w:abstractNum>
  <w:abstractNum w:abstractNumId="2081956">
    <w:lvl>
      <w:numFmt w:val="bullet"/>
      <w:suff w:val="tab"/>
      <w:lvlText w:val="•"/>
      <w:rPr>
        <w:color w:val="3370ff"/>
      </w:rPr>
    </w:lvl>
  </w:abstractNum>
  <w:abstractNum w:abstractNumId="2081957">
    <w:lvl>
      <w:numFmt w:val="bullet"/>
      <w:suff w:val="tab"/>
      <w:lvlText w:val="•"/>
      <w:rPr>
        <w:color w:val="3370ff"/>
      </w:rPr>
    </w:lvl>
  </w:abstractNum>
  <w:abstractNum w:abstractNumId="2081958">
    <w:lvl>
      <w:numFmt w:val="bullet"/>
      <w:suff w:val="tab"/>
      <w:lvlText w:val="•"/>
      <w:rPr>
        <w:color w:val="3370ff"/>
      </w:rPr>
    </w:lvl>
  </w:abstractNum>
  <w:abstractNum w:abstractNumId="2081959">
    <w:lvl>
      <w:numFmt w:val="bullet"/>
      <w:suff w:val="tab"/>
      <w:lvlText w:val="•"/>
      <w:rPr>
        <w:color w:val="3370ff"/>
      </w:rPr>
    </w:lvl>
  </w:abstractNum>
  <w:abstractNum w:abstractNumId="2081960">
    <w:lvl>
      <w:numFmt w:val="bullet"/>
      <w:suff w:val="tab"/>
      <w:lvlText w:val="•"/>
      <w:rPr>
        <w:color w:val="3370ff"/>
      </w:rPr>
    </w:lvl>
  </w:abstractNum>
  <w:num w:numId="1">
    <w:abstractNumId w:val="2081922"/>
  </w:num>
  <w:num w:numId="2">
    <w:abstractNumId w:val="2081923"/>
  </w:num>
  <w:num w:numId="3">
    <w:abstractNumId w:val="2081924"/>
  </w:num>
  <w:num w:numId="4">
    <w:abstractNumId w:val="2081925"/>
  </w:num>
  <w:num w:numId="5">
    <w:abstractNumId w:val="2081926"/>
  </w:num>
  <w:num w:numId="6">
    <w:abstractNumId w:val="2081927"/>
  </w:num>
  <w:num w:numId="7">
    <w:abstractNumId w:val="2081928"/>
  </w:num>
  <w:num w:numId="8">
    <w:abstractNumId w:val="2081929"/>
  </w:num>
  <w:num w:numId="9">
    <w:abstractNumId w:val="2081930"/>
  </w:num>
  <w:num w:numId="10">
    <w:abstractNumId w:val="2081931"/>
  </w:num>
  <w:num w:numId="11">
    <w:abstractNumId w:val="2081932"/>
  </w:num>
  <w:num w:numId="12">
    <w:abstractNumId w:val="2081933"/>
  </w:num>
  <w:num w:numId="13">
    <w:abstractNumId w:val="2081934"/>
  </w:num>
  <w:num w:numId="14">
    <w:abstractNumId w:val="2081935"/>
  </w:num>
  <w:num w:numId="15">
    <w:abstractNumId w:val="2081936"/>
  </w:num>
  <w:num w:numId="16">
    <w:abstractNumId w:val="2081937"/>
  </w:num>
  <w:num w:numId="17">
    <w:abstractNumId w:val="2081938"/>
  </w:num>
  <w:num w:numId="18">
    <w:abstractNumId w:val="2081939"/>
  </w:num>
  <w:num w:numId="19">
    <w:abstractNumId w:val="2081940"/>
  </w:num>
  <w:num w:numId="20">
    <w:abstractNumId w:val="2081941"/>
  </w:num>
  <w:num w:numId="21">
    <w:abstractNumId w:val="2081942"/>
  </w:num>
  <w:num w:numId="22">
    <w:abstractNumId w:val="2081943"/>
  </w:num>
  <w:num w:numId="23">
    <w:abstractNumId w:val="2081944"/>
  </w:num>
  <w:num w:numId="24">
    <w:abstractNumId w:val="2081945"/>
  </w:num>
  <w:num w:numId="25">
    <w:abstractNumId w:val="2081946"/>
  </w:num>
  <w:num w:numId="26">
    <w:abstractNumId w:val="2081947"/>
  </w:num>
  <w:num w:numId="27">
    <w:abstractNumId w:val="2081948"/>
  </w:num>
  <w:num w:numId="28">
    <w:abstractNumId w:val="2081949"/>
  </w:num>
  <w:num w:numId="29">
    <w:abstractNumId w:val="2081950"/>
  </w:num>
  <w:num w:numId="30">
    <w:abstractNumId w:val="2081951"/>
  </w:num>
  <w:num w:numId="31">
    <w:abstractNumId w:val="2081952"/>
  </w:num>
  <w:num w:numId="32">
    <w:abstractNumId w:val="2081953"/>
  </w:num>
  <w:num w:numId="33">
    <w:abstractNumId w:val="2081954"/>
  </w:num>
  <w:num w:numId="34">
    <w:abstractNumId w:val="2081955"/>
  </w:num>
  <w:num w:numId="35">
    <w:abstractNumId w:val="2081956"/>
  </w:num>
  <w:num w:numId="36">
    <w:abstractNumId w:val="2081957"/>
  </w:num>
  <w:num w:numId="37">
    <w:abstractNumId w:val="2081958"/>
  </w:num>
  <w:num w:numId="38">
    <w:abstractNumId w:val="2081959"/>
  </w:num>
  <w:num w:numId="39">
    <w:abstractNumId w:val="208196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2026-05-06T04:02:12Z</dcterms:created>
  <dc:creator>Apache POI</dc:creator>
</cp:coreProperties>
</file>