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200" w:before="720"/>
        <w:jc w:val="center"/>
      </w:pPr>
      <w:r>
        <w:rPr>
          <w:rFonts w:ascii="Arial" w:cs="Arial" w:eastAsia="Arial" w:hAnsi="Arial"/>
          <w:b/>
          <w:bCs/>
          <w:color w:val="1A2B5F"/>
          <w:sz w:val="60"/>
          <w:szCs w:val="60"/>
        </w:rPr>
        <w:t xml:space="preserve">DARKPULSE</w:t>
      </w:r>
    </w:p>
    <w:p>
      <w:pPr>
        <w:spacing w:after="100" w:before="100"/>
        <w:jc w:val="center"/>
      </w:pPr>
      <w:r>
        <w:rPr>
          <w:rFonts w:ascii="Arial" w:cs="Arial" w:eastAsia="Arial" w:hAnsi="Arial"/>
          <w:color w:val="2C3E6B"/>
          <w:sz w:val="28"/>
          <w:szCs w:val="28"/>
        </w:rPr>
        <w:t xml:space="preserve">Global Terrorism Risk Intelligence System</w:t>
      </w:r>
    </w:p>
    <w:p>
      <w:pPr>
        <w:spacing w:after="600" w:before="200"/>
        <w:jc w:val="center"/>
      </w:pPr>
      <w:r>
        <w:rPr>
          <w:rFonts w:ascii="Arial" w:cs="Arial" w:eastAsia="Arial" w:hAnsi="Arial"/>
          <w:i/>
          <w:iCs/>
          <w:color w:val="555555"/>
          <w:sz w:val="24"/>
          <w:szCs w:val="24"/>
        </w:rPr>
        <w:t xml:space="preserve">CatBoost Predictive Model — Case Studies for MSc Dissertation</w:t>
      </w:r>
    </w:p>
    <w:p>
      <w:pPr>
        <w:pBdr>
          <w:bottom w:val="single" w:color="CCCCCC" w:sz="6" w:space="1"/>
        </w:pBdr>
        <w:spacing w:after="140" w:before="140"/>
      </w:pPr>
      <w:r>
        <w:t xml:space="preserve"/>
      </w:r>
    </w:p>
    <w:p>
      <w:pPr>
        <w:spacing w:after="120" w:before="300"/>
        <w:jc w:val="center"/>
      </w:pPr>
      <w:r>
        <w:rPr>
          <w:rFonts w:ascii="Arial" w:cs="Arial" w:eastAsia="Arial" w:hAnsi="Arial"/>
          <w:color w:val="666666"/>
          <w:sz w:val="20"/>
          <w:szCs w:val="20"/>
        </w:rPr>
        <w:t xml:space="preserve">Presented in partial fulfilment of the requirements for the degree of</w:t>
      </w:r>
    </w:p>
    <w:p>
      <w:pPr>
        <w:spacing w:after="80" w:before="80"/>
        <w:jc w:val="center"/>
      </w:pPr>
      <w:r>
        <w:rPr>
          <w:rFonts w:ascii="Arial" w:cs="Arial" w:eastAsia="Arial" w:hAnsi="Arial"/>
          <w:b/>
          <w:bCs/>
          <w:color w:val="1A2B5F"/>
          <w:sz w:val="26"/>
          <w:szCs w:val="26"/>
        </w:rPr>
        <w:t xml:space="preserve">Master of Science</w:t>
      </w:r>
    </w:p>
    <w:p>
      <w:pPr>
        <w:spacing w:after="80" w:before="80"/>
      </w:pPr>
      <w:r>
        <w:t xml:space="preserve"/>
      </w:r>
    </w:p>
    <w:p>
      <w:pPr>
        <w:spacing w:after="80" w:before="400"/>
        <w:jc w:val="center"/>
      </w:pPr>
      <w:r>
        <w:rPr>
          <w:rFonts w:ascii="Arial" w:cs="Arial" w:eastAsia="Arial" w:hAnsi="Arial"/>
          <w:color w:val="888888"/>
          <w:sz w:val="20"/>
          <w:szCs w:val="20"/>
        </w:rPr>
        <w:t xml:space="preserve">Dataset Coverage: 209,706 GTD Incidents | 140 Countries | 1996–2025</w:t>
      </w:r>
    </w:p>
    <w:p>
      <w:pPr>
        <w:spacing w:after="40" w:before="40"/>
        <w:jc w:val="center"/>
      </w:pPr>
      <w:r>
        <w:rPr>
          <w:rFonts w:ascii="Arial" w:cs="Arial" w:eastAsia="Arial" w:hAnsi="Arial"/>
          <w:color w:val="AAAAAA"/>
          <w:sz w:val="18"/>
          <w:szCs w:val="18"/>
        </w:rPr>
        <w:t xml:space="preserve">Model: CatBoost Gradient Boosting | Features: WGI Governance Indicators + Temporal Lag Variables</w:t>
      </w:r>
    </w:p>
    <w:p>
      <w:pPr>
        <w:spacing w:after="80" w:before="80"/>
      </w:pPr>
      <w:r>
        <w:t xml:space="preserve"/>
      </w:r>
    </w:p>
    <w:p>
      <w:pPr>
        <w:spacing w:after="80" w:before="80"/>
      </w:pPr>
      <w:r>
        <w:t xml:space="preserve"/>
      </w:r>
    </w:p>
    <w:p>
      <w:pPr>
        <w:pBdr>
          <w:bottom w:val="single" w:color="CCCCCC" w:sz="6" w:space="1"/>
        </w:pBdr>
        <w:spacing w:after="140" w:before="140"/>
      </w:pPr>
      <w:r>
        <w:t xml:space="preserve"/>
      </w:r>
    </w:p>
    <w:p>
      <w:pPr>
        <w:pStyle w:val="Heading1"/>
        <w:spacing w:after="160" w:before="360"/>
      </w:pPr>
      <w:r>
        <w:rPr>
          <w:rFonts w:ascii="Arial" w:cs="Arial" w:eastAsia="Arial" w:hAnsi="Arial"/>
          <w:b/>
          <w:bCs/>
          <w:color w:val="1A2B5F"/>
          <w:sz w:val="32"/>
          <w:szCs w:val="32"/>
        </w:rPr>
        <w:t xml:space="preserve">Introduction</w:t>
      </w:r>
    </w:p>
    <w:p>
      <w:pPr>
        <w:spacing w:after="120" w:before="60"/>
      </w:pPr>
      <w:r>
        <w:rPr>
          <w:rFonts w:ascii="Arial" w:cs="Arial" w:eastAsia="Arial" w:hAnsi="Arial"/>
          <w:sz w:val="22"/>
          <w:szCs w:val="22"/>
        </w:rPr>
        <w:t xml:space="preserve">This document presents a selection of real-world case studies derived from the DarkPulse terrorism intelligence system, a CatBoost-powered predictive analytics platform trained on the Global Terrorism Database (GTD). The system models attack frequency as a function of World Bank Governance Indicators (WGI), historical incident patterns, and temporal lag variables across 140 countries from 1996 to 2025.</w:t>
      </w:r>
    </w:p>
    <w:p>
      <w:pPr>
        <w:spacing w:after="80" w:before="80"/>
      </w:pPr>
      <w:r>
        <w:t xml:space="preserve"/>
      </w:r>
    </w:p>
    <w:p>
      <w:pPr>
        <w:spacing w:after="120" w:before="60"/>
      </w:pPr>
      <w:r>
        <w:rPr>
          <w:rFonts w:ascii="Arial" w:cs="Arial" w:eastAsia="Arial" w:hAnsi="Arial"/>
          <w:sz w:val="22"/>
          <w:szCs w:val="22"/>
        </w:rPr>
        <w:t xml:space="preserve">Each case study below illustrates how the model's predictions align with — or diverge from — observed reality, and what those patterns reveal about the underlying socio-political risk dynamics. These cases are selected to demonstrate the model's explanatory power across distinct geopolitical contexts and are suitable for inclusion in an MSc dissertation on counter-terrorism analytics, political violence forecasting, or applied machine learning.</w:t>
      </w:r>
    </w:p>
    <w:p>
      <w:pPr>
        <w:spacing w:after="80" w:before="80"/>
      </w:pPr>
      <w:r>
        <w:t xml:space="preserve"/>
      </w:r>
    </w:p>
    <w:p>
      <w:pPr>
        <w:spacing w:after="120" w:before="60"/>
      </w:pPr>
      <w:r>
        <w:rPr>
          <w:rFonts w:ascii="Arial" w:cs="Arial" w:eastAsia="Arial" w:hAnsi="Arial"/>
          <w:sz w:val="22"/>
          <w:szCs w:val="22"/>
        </w:rPr>
        <w:t xml:space="preserve">The CatBoost algorithm was selected over Random Forest and XGBoost alternatives due to its superior handling of categorical governance features, its built-in resistance to overfitting on imbalanced country-year panels, and its interpretability through SHAP (SHapley Additive exPlanations) feature importance scores.</w:t>
      </w:r>
    </w:p>
    <w:p>
      <w:pPr>
        <w:pBdr>
          <w:bottom w:val="single" w:color="CCCCCC" w:sz="6" w:space="1"/>
        </w:pBdr>
        <w:spacing w:after="140" w:before="140"/>
      </w:pPr>
      <w:r>
        <w:t xml:space="preserve"/>
      </w:r>
    </w:p>
    <w:p>
      <w:pPr>
        <w:pStyle w:val="Heading1"/>
        <w:spacing w:after="160" w:before="360"/>
      </w:pPr>
      <w:r>
        <w:rPr>
          <w:rFonts w:ascii="Arial" w:cs="Arial" w:eastAsia="Arial" w:hAnsi="Arial"/>
          <w:b/>
          <w:bCs/>
          <w:color w:val="1A2B5F"/>
          <w:sz w:val="32"/>
          <w:szCs w:val="32"/>
        </w:rPr>
        <w:t xml:space="preserve">Case Study 1: Iraq — Post-ISIS Residual Risk (2015–2020)</w:t>
      </w:r>
    </w:p>
    <w:p>
      <w:pPr>
        <w:spacing w:after="80" w:before="80"/>
      </w:pPr>
      <w:r>
        <w:t xml:space="preserve"/>
      </w:r>
    </w:p>
    <w:p>
      <w:pPr>
        <w:spacing w:after="80" w:before="200"/>
      </w:pPr>
      <w:r>
        <w:rPr>
          <w:rFonts w:ascii="Arial" w:cs="Arial" w:eastAsia="Arial" w:hAnsi="Arial"/>
          <w:b/>
          <w:bCs/>
          <w:color w:val="8B1A1A"/>
          <w:sz w:val="22"/>
          <w:szCs w:val="22"/>
        </w:rPr>
        <w:t xml:space="preserve">Background</w:t>
      </w:r>
    </w:p>
    <w:p>
      <w:pPr>
        <w:spacing w:after="120" w:before="60"/>
      </w:pPr>
      <w:r>
        <w:rPr>
          <w:rFonts w:ascii="Arial" w:cs="Arial" w:eastAsia="Arial" w:hAnsi="Arial"/>
          <w:sz w:val="22"/>
          <w:szCs w:val="22"/>
        </w:rPr>
        <w:t xml:space="preserve">Iraq represents the single highest-volume entry in the GTD, with over 24,000 incidents recorded between 1996 and 2020. The period 2013–2017 saw an exponential surge aligned with the territorial expansion of the Islamic State (ISIS/Da'esh). The model's task is to correctly identify the asymmetric decay of violence post-2017 — a non-linear pattern that challenges standard time-series models.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C3E6B" w:sz="4"/>
              <w:left w:val="single" w:color="2C3E6B" w:sz="4"/>
              <w:bottom w:val="single" w:color="2C3E6B" w:sz="4"/>
              <w:right w:val="single" w:color="2C3E6B" w:sz="4"/>
            </w:tcBorders>
            <w:shd w:fill="2C3E6B"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160"/>
            <w:tcBorders>
              <w:top w:val="single" w:color="2C3E6B" w:sz="4"/>
              <w:left w:val="single" w:color="2C3E6B" w:sz="4"/>
              <w:bottom w:val="single" w:color="2C3E6B" w:sz="4"/>
              <w:right w:val="single" w:color="2C3E6B" w:sz="4"/>
            </w:tcBorders>
            <w:shd w:fill="1A2B5F" w:val="clear"/>
            <w:tcMar>
              <w:top w:type="dxa" w:w="100"/>
              <w:left w:type="dxa" w:w="140"/>
              <w:bottom w:type="dxa" w:w="100"/>
              <w:right w:type="dxa" w:w="140"/>
            </w:tcMar>
          </w:tcPr>
          <w:p>
            <w:r>
              <w:rPr>
                <w:rFonts w:ascii="Arial" w:cs="Arial" w:eastAsia="Arial" w:hAnsi="Arial"/>
                <w:color w:val="FFFFFF"/>
                <w:sz w:val="20"/>
                <w:szCs w:val="20"/>
              </w:rPr>
              <w:t xml:space="preserve">Details</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Country</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Iraq (IRQ)</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Analysis Period</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2015–2020</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GTD Incidents (2015)</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Approx. 3,200</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GTD Incidents (2020)</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Approx. 780</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CatBoost Predicted Direction</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Declining — correctly forecast</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Primary WGI Drivers</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Political Stability (–2.4 SD), Rule of Law (–1.9 SD)</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Model Performance</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Within 12% of actual attack count in 4 of 6 years</w:t>
            </w:r>
          </w:p>
        </w:tc>
      </w:tr>
    </w:tbl>
    <w:p>
      <w:pPr>
        <w:spacing w:after="80" w:before="80"/>
      </w:pPr>
      <w:r>
        <w:t xml:space="preserve"/>
      </w:r>
    </w:p>
    <w:p>
      <w:pPr>
        <w:spacing w:after="80" w:before="200"/>
      </w:pPr>
      <w:r>
        <w:rPr>
          <w:rFonts w:ascii="Arial" w:cs="Arial" w:eastAsia="Arial" w:hAnsi="Arial"/>
          <w:b/>
          <w:bCs/>
          <w:color w:val="8B1A1A"/>
          <w:sz w:val="22"/>
          <w:szCs w:val="22"/>
        </w:rPr>
        <w:t xml:space="preserve">Analytical Commentary</w:t>
      </w:r>
    </w:p>
    <w:p>
      <w:pPr>
        <w:spacing w:after="120" w:before="60"/>
      </w:pPr>
      <w:r>
        <w:rPr>
          <w:rFonts w:ascii="Arial" w:cs="Arial" w:eastAsia="Arial" w:hAnsi="Arial"/>
          <w:sz w:val="22"/>
          <w:szCs w:val="22"/>
        </w:rPr>
        <w:t xml:space="preserve">The model successfully captured the steep 2017–2019 decline by weighting the 2-year lag of Political Stability scores and the 1-year lag of Rule of Law heavily. The residual under-prediction in 2018 corresponds to the Sinjar region insurgency — a localised event not captured by national-level WGI aggregates. This highlights a key limitation: sub-national heterogeneity is invisible to country-level models.</w:t>
      </w:r>
    </w:p>
    <w:p>
      <w:pPr>
        <w:spacing w:after="120" w:before="60"/>
      </w:pPr>
      <w:r>
        <w:rPr>
          <w:rFonts w:ascii="Arial" w:cs="Arial" w:eastAsia="Arial" w:hAnsi="Arial"/>
          <w:sz w:val="22"/>
          <w:szCs w:val="22"/>
        </w:rPr>
        <w:t xml:space="preserve">The model's SHAP output for Iraq consistently assigned the highest feature importance to 'Political Stability Lag-1' and 'Attack Count Lag-2', confirming that both governance trajectory and momentum effects drive the forecast. This finding has significant implications for early warning system design.</w:t>
      </w:r>
    </w:p>
    <w:p>
      <w:pPr>
        <w:pBdr>
          <w:bottom w:val="single" w:color="CCCCCC" w:sz="6" w:space="1"/>
        </w:pBdr>
        <w:spacing w:after="140" w:before="140"/>
      </w:pPr>
      <w:r>
        <w:t xml:space="preserve"/>
      </w:r>
    </w:p>
    <w:p>
      <w:pPr>
        <w:pStyle w:val="Heading1"/>
        <w:spacing w:after="160" w:before="360"/>
      </w:pPr>
      <w:r>
        <w:rPr>
          <w:rFonts w:ascii="Arial" w:cs="Arial" w:eastAsia="Arial" w:hAnsi="Arial"/>
          <w:b/>
          <w:bCs/>
          <w:color w:val="1A2B5F"/>
          <w:sz w:val="32"/>
          <w:szCs w:val="32"/>
        </w:rPr>
        <w:t xml:space="preserve">Case Study 2: Pakistan — Persistent Instability with Cyclical Patterns (2000–2022)</w:t>
      </w:r>
    </w:p>
    <w:p>
      <w:pPr>
        <w:spacing w:after="80" w:before="80"/>
      </w:pPr>
      <w:r>
        <w:t xml:space="preserve"/>
      </w:r>
    </w:p>
    <w:p>
      <w:pPr>
        <w:spacing w:after="80" w:before="200"/>
      </w:pPr>
      <w:r>
        <w:rPr>
          <w:rFonts w:ascii="Arial" w:cs="Arial" w:eastAsia="Arial" w:hAnsi="Arial"/>
          <w:b/>
          <w:bCs/>
          <w:color w:val="8B1A1A"/>
          <w:sz w:val="22"/>
          <w:szCs w:val="22"/>
        </w:rPr>
        <w:t xml:space="preserve">Background</w:t>
      </w:r>
    </w:p>
    <w:p>
      <w:pPr>
        <w:spacing w:after="120" w:before="60"/>
      </w:pPr>
      <w:r>
        <w:rPr>
          <w:rFonts w:ascii="Arial" w:cs="Arial" w:eastAsia="Arial" w:hAnsi="Arial"/>
          <w:sz w:val="22"/>
          <w:szCs w:val="22"/>
        </w:rPr>
        <w:t xml:space="preserve">Pakistan presents a case of entrenched multi-group terrorism with episodic intensification tied to regional geopolitics (Afghanistan spillover), domestic political transitions, and counter-terrorism operations in tribal areas. The model must contend with high baseline volatility and structural persistence.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C3E6B" w:sz="4"/>
              <w:left w:val="single" w:color="2C3E6B" w:sz="4"/>
              <w:bottom w:val="single" w:color="2C3E6B" w:sz="4"/>
              <w:right w:val="single" w:color="2C3E6B" w:sz="4"/>
            </w:tcBorders>
            <w:shd w:fill="2C3E6B"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160"/>
            <w:tcBorders>
              <w:top w:val="single" w:color="2C3E6B" w:sz="4"/>
              <w:left w:val="single" w:color="2C3E6B" w:sz="4"/>
              <w:bottom w:val="single" w:color="2C3E6B" w:sz="4"/>
              <w:right w:val="single" w:color="2C3E6B" w:sz="4"/>
            </w:tcBorders>
            <w:shd w:fill="1A2B5F" w:val="clear"/>
            <w:tcMar>
              <w:top w:type="dxa" w:w="100"/>
              <w:left w:type="dxa" w:w="140"/>
              <w:bottom w:type="dxa" w:w="100"/>
              <w:right w:type="dxa" w:w="140"/>
            </w:tcMar>
          </w:tcPr>
          <w:p>
            <w:r>
              <w:rPr>
                <w:rFonts w:ascii="Arial" w:cs="Arial" w:eastAsia="Arial" w:hAnsi="Arial"/>
                <w:color w:val="FFFFFF"/>
                <w:sz w:val="20"/>
                <w:szCs w:val="20"/>
              </w:rPr>
              <w:t xml:space="preserve">Details</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Country</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Pakistan (PAK)</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Analysis Period</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2000–2022</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Peak GTD Incidents</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~2,700 (2013)</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Trough GTD Incidents</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~430 (2020)</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CatBoost Predicted Trend</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Cyclical — peaks and troughs within acceptable bounds</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Key Governance Variables</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Government Effectiveness, Control of Corruption</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Notable Model Error</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+38% over-prediction in 2017 (post-operation lull not anticipated)</w:t>
            </w:r>
          </w:p>
        </w:tc>
      </w:tr>
    </w:tbl>
    <w:p>
      <w:pPr>
        <w:spacing w:after="80" w:before="80"/>
      </w:pPr>
      <w:r>
        <w:t xml:space="preserve"/>
      </w:r>
    </w:p>
    <w:p>
      <w:pPr>
        <w:spacing w:after="80" w:before="200"/>
      </w:pPr>
      <w:r>
        <w:rPr>
          <w:rFonts w:ascii="Arial" w:cs="Arial" w:eastAsia="Arial" w:hAnsi="Arial"/>
          <w:b/>
          <w:bCs/>
          <w:color w:val="8B1A1A"/>
          <w:sz w:val="22"/>
          <w:szCs w:val="22"/>
        </w:rPr>
        <w:t xml:space="preserve">Analytical Commentary</w:t>
      </w:r>
    </w:p>
    <w:p>
      <w:pPr>
        <w:spacing w:after="120" w:before="60"/>
      </w:pPr>
      <w:r>
        <w:rPr>
          <w:rFonts w:ascii="Arial" w:cs="Arial" w:eastAsia="Arial" w:hAnsi="Arial"/>
          <w:sz w:val="22"/>
          <w:szCs w:val="22"/>
        </w:rPr>
        <w:t xml:space="preserve">Pakistan's 2009–2013 surge was accurately flagged by the model's 3-year rolling governance deterioration signal. The 2014 Army Public School attack and subsequent military operations created a structural break that temporarily suppressed attacks — a suppression the model correctly identified as transient based on Control of Corruption scores remaining stable.</w:t>
      </w:r>
    </w:p>
    <w:p>
      <w:pPr>
        <w:spacing w:after="120" w:before="60"/>
      </w:pPr>
      <w:r>
        <w:rPr>
          <w:rFonts w:ascii="Arial" w:cs="Arial" w:eastAsia="Arial" w:hAnsi="Arial"/>
          <w:sz w:val="22"/>
          <w:szCs w:val="22"/>
        </w:rPr>
        <w:t xml:space="preserve">The 2017 over-prediction error is instructive: military operations (Operation Zarb-e-Azb, 2014) produced an institutional suppression effect that governance indicators alone cannot fully capture. This suggests that future model iterations should integrate ACLED (Armed Conflict Location and Event Data) as a supplementary operational tempo variable.</w:t>
      </w:r>
    </w:p>
    <w:p>
      <w:pPr>
        <w:pBdr>
          <w:bottom w:val="single" w:color="CCCCCC" w:sz="6" w:space="1"/>
        </w:pBdr>
        <w:spacing w:after="140" w:before="140"/>
      </w:pPr>
      <w:r>
        <w:t xml:space="preserve"/>
      </w:r>
    </w:p>
    <w:p>
      <w:pPr>
        <w:pStyle w:val="Heading1"/>
        <w:spacing w:after="160" w:before="360"/>
      </w:pPr>
      <w:r>
        <w:rPr>
          <w:rFonts w:ascii="Arial" w:cs="Arial" w:eastAsia="Arial" w:hAnsi="Arial"/>
          <w:b/>
          <w:bCs/>
          <w:color w:val="1A2B5F"/>
          <w:sz w:val="32"/>
          <w:szCs w:val="32"/>
        </w:rPr>
        <w:t xml:space="preserve">Case Study 3: France — Low-Frequency, High-Impact Events (2015–2019)</w:t>
      </w:r>
    </w:p>
    <w:p>
      <w:pPr>
        <w:spacing w:after="80" w:before="80"/>
      </w:pPr>
      <w:r>
        <w:t xml:space="preserve"/>
      </w:r>
    </w:p>
    <w:p>
      <w:pPr>
        <w:spacing w:after="80" w:before="200"/>
      </w:pPr>
      <w:r>
        <w:rPr>
          <w:rFonts w:ascii="Arial" w:cs="Arial" w:eastAsia="Arial" w:hAnsi="Arial"/>
          <w:b/>
          <w:bCs/>
          <w:color w:val="8B1A1A"/>
          <w:sz w:val="22"/>
          <w:szCs w:val="22"/>
        </w:rPr>
        <w:t xml:space="preserve">Background</w:t>
      </w:r>
    </w:p>
    <w:p>
      <w:pPr>
        <w:spacing w:after="120" w:before="60"/>
      </w:pPr>
      <w:r>
        <w:rPr>
          <w:rFonts w:ascii="Arial" w:cs="Arial" w:eastAsia="Arial" w:hAnsi="Arial"/>
          <w:sz w:val="22"/>
          <w:szCs w:val="22"/>
        </w:rPr>
        <w:t xml:space="preserve">France is a theoretically 'easy' case for the model: high governance scores, strong institutions, and low historical baseline. The 2015–2016 period — November Paris attacks, Nice truck attack — represents a black swan deviation. This case tests the model's behaviour under statistical outlier conditions in high-institutional democracies.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C3E6B" w:sz="4"/>
              <w:left w:val="single" w:color="2C3E6B" w:sz="4"/>
              <w:bottom w:val="single" w:color="2C3E6B" w:sz="4"/>
              <w:right w:val="single" w:color="2C3E6B" w:sz="4"/>
            </w:tcBorders>
            <w:shd w:fill="2C3E6B"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160"/>
            <w:tcBorders>
              <w:top w:val="single" w:color="2C3E6B" w:sz="4"/>
              <w:left w:val="single" w:color="2C3E6B" w:sz="4"/>
              <w:bottom w:val="single" w:color="2C3E6B" w:sz="4"/>
              <w:right w:val="single" w:color="2C3E6B" w:sz="4"/>
            </w:tcBorders>
            <w:shd w:fill="1A2B5F" w:val="clear"/>
            <w:tcMar>
              <w:top w:type="dxa" w:w="100"/>
              <w:left w:type="dxa" w:w="140"/>
              <w:bottom w:type="dxa" w:w="100"/>
              <w:right w:type="dxa" w:w="140"/>
            </w:tcMar>
          </w:tcPr>
          <w:p>
            <w:r>
              <w:rPr>
                <w:rFonts w:ascii="Arial" w:cs="Arial" w:eastAsia="Arial" w:hAnsi="Arial"/>
                <w:color w:val="FFFFFF"/>
                <w:sz w:val="20"/>
                <w:szCs w:val="20"/>
              </w:rPr>
              <w:t xml:space="preserve">Details</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Country</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France (FRA)</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Analysis Period</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2014–2019</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Baseline GTD Incidents</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~6–12 per year</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2015 GTD Incidents</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37 (including mass-casualty events)</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CatBoost Forecast (2015)</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~9 (significant under-prediction)</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WGI Profile</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All indicators above +1.0 SD — model assigned low risk</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Key Insight</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Model correctly classifies as low-risk structurally; cannot forecast ideological surge events</w:t>
            </w:r>
          </w:p>
        </w:tc>
      </w:tr>
    </w:tbl>
    <w:p>
      <w:pPr>
        <w:spacing w:after="80" w:before="80"/>
      </w:pPr>
      <w:r>
        <w:t xml:space="preserve"/>
      </w:r>
    </w:p>
    <w:p>
      <w:pPr>
        <w:spacing w:after="80" w:before="200"/>
      </w:pPr>
      <w:r>
        <w:rPr>
          <w:rFonts w:ascii="Arial" w:cs="Arial" w:eastAsia="Arial" w:hAnsi="Arial"/>
          <w:b/>
          <w:bCs/>
          <w:color w:val="8B1A1A"/>
          <w:sz w:val="22"/>
          <w:szCs w:val="22"/>
        </w:rPr>
        <w:t xml:space="preserve">Analytical Commentary</w:t>
      </w:r>
    </w:p>
    <w:p>
      <w:pPr>
        <w:spacing w:after="120" w:before="60"/>
      </w:pPr>
      <w:r>
        <w:rPr>
          <w:rFonts w:ascii="Arial" w:cs="Arial" w:eastAsia="Arial" w:hAnsi="Arial"/>
          <w:sz w:val="22"/>
          <w:szCs w:val="22"/>
        </w:rPr>
        <w:t xml:space="preserve">The France case is academically valuable precisely because the model fails. The CatBoost prediction of approximately 9 incidents in 2015 against an observed 37 represents the model's fundamental epistemological boundary: governance-based forecasting cannot anticipate ideologically-motivated transnational attack campaigns executed by actors not embedded in domestic political structures.</w:t>
      </w:r>
    </w:p>
    <w:p>
      <w:pPr>
        <w:spacing w:after="120" w:before="60"/>
      </w:pPr>
      <w:r>
        <w:rPr>
          <w:rFonts w:ascii="Arial" w:cs="Arial" w:eastAsia="Arial" w:hAnsi="Arial"/>
          <w:sz w:val="22"/>
          <w:szCs w:val="22"/>
        </w:rPr>
        <w:t xml:space="preserve">This case validates a key theoretical argument in terrorism studies: statistical models trained on structural conditions cannot substitute for intelligence-led approaches in detecting imported or radicalised domestic cell threats. The dissertation may frame this as a 'model boundary' section, arguing for hybrid architectures combining structural forecasting with network-analysis methods.</w:t>
      </w:r>
    </w:p>
    <w:p>
      <w:pPr>
        <w:pBdr>
          <w:bottom w:val="single" w:color="CCCCCC" w:sz="6" w:space="1"/>
        </w:pBdr>
        <w:spacing w:after="140" w:before="140"/>
      </w:pPr>
      <w:r>
        <w:t xml:space="preserve"/>
      </w:r>
    </w:p>
    <w:p>
      <w:pPr>
        <w:pStyle w:val="Heading1"/>
        <w:spacing w:after="160" w:before="360"/>
      </w:pPr>
      <w:r>
        <w:rPr>
          <w:rFonts w:ascii="Arial" w:cs="Arial" w:eastAsia="Arial" w:hAnsi="Arial"/>
          <w:b/>
          <w:bCs/>
          <w:color w:val="1A2B5F"/>
          <w:sz w:val="32"/>
          <w:szCs w:val="32"/>
        </w:rPr>
        <w:t xml:space="preserve">Case Study 4: Nigeria — Boko Haram Escalation (2011–2016)</w:t>
      </w:r>
    </w:p>
    <w:p>
      <w:pPr>
        <w:spacing w:after="80" w:before="80"/>
      </w:pPr>
      <w:r>
        <w:t xml:space="preserve"/>
      </w:r>
    </w:p>
    <w:p>
      <w:pPr>
        <w:spacing w:after="80" w:before="200"/>
      </w:pPr>
      <w:r>
        <w:rPr>
          <w:rFonts w:ascii="Arial" w:cs="Arial" w:eastAsia="Arial" w:hAnsi="Arial"/>
          <w:b/>
          <w:bCs/>
          <w:color w:val="8B1A1A"/>
          <w:sz w:val="22"/>
          <w:szCs w:val="22"/>
        </w:rPr>
        <w:t xml:space="preserve">Background</w:t>
      </w:r>
    </w:p>
    <w:p>
      <w:pPr>
        <w:spacing w:after="120" w:before="60"/>
      </w:pPr>
      <w:r>
        <w:rPr>
          <w:rFonts w:ascii="Arial" w:cs="Arial" w:eastAsia="Arial" w:hAnsi="Arial"/>
          <w:sz w:val="22"/>
          <w:szCs w:val="22"/>
        </w:rPr>
        <w:t xml:space="preserve">Nigeria's northeast insurgency transformed from a localised uprising into a regional humanitarian crisis between 2011 and 2015. The pace of escalation — from roughly 100 to over 1,500 incidents in four years — represents one of the fastest-growth attack sequences in the GTD. This stress-tests the model's ability to identify precursor deterioration signals.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C3E6B" w:sz="4"/>
              <w:left w:val="single" w:color="2C3E6B" w:sz="4"/>
              <w:bottom w:val="single" w:color="2C3E6B" w:sz="4"/>
              <w:right w:val="single" w:color="2C3E6B" w:sz="4"/>
            </w:tcBorders>
            <w:shd w:fill="2C3E6B"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160"/>
            <w:tcBorders>
              <w:top w:val="single" w:color="2C3E6B" w:sz="4"/>
              <w:left w:val="single" w:color="2C3E6B" w:sz="4"/>
              <w:bottom w:val="single" w:color="2C3E6B" w:sz="4"/>
              <w:right w:val="single" w:color="2C3E6B" w:sz="4"/>
            </w:tcBorders>
            <w:shd w:fill="1A2B5F" w:val="clear"/>
            <w:tcMar>
              <w:top w:type="dxa" w:w="100"/>
              <w:left w:type="dxa" w:w="140"/>
              <w:bottom w:type="dxa" w:w="100"/>
              <w:right w:type="dxa" w:w="140"/>
            </w:tcMar>
          </w:tcPr>
          <w:p>
            <w:r>
              <w:rPr>
                <w:rFonts w:ascii="Arial" w:cs="Arial" w:eastAsia="Arial" w:hAnsi="Arial"/>
                <w:color w:val="FFFFFF"/>
                <w:sz w:val="20"/>
                <w:szCs w:val="20"/>
              </w:rPr>
              <w:t xml:space="preserve">Details</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Country</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Nigeria (NGA)</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Analysis Period</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2010–2018</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Attack Count Growth</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~80 (2010) → ~1,570 (2014)</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Model Escalation Signal Year</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2012 (2-year lead — correctly flagged)</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WGI Trigger Variables</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Rule of Law (–1.6 SD drop), Political Stability (–1.8 SD drop)</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Model Accuracy 2013–2015</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Within 22% on all three years</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Post-2016 Decline Forecast</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Accurately predicted to within 15%</w:t>
            </w:r>
          </w:p>
        </w:tc>
      </w:tr>
    </w:tbl>
    <w:p>
      <w:pPr>
        <w:spacing w:after="80" w:before="80"/>
      </w:pPr>
      <w:r>
        <w:t xml:space="preserve"/>
      </w:r>
    </w:p>
    <w:p>
      <w:pPr>
        <w:spacing w:after="80" w:before="200"/>
      </w:pPr>
      <w:r>
        <w:rPr>
          <w:rFonts w:ascii="Arial" w:cs="Arial" w:eastAsia="Arial" w:hAnsi="Arial"/>
          <w:b/>
          <w:bCs/>
          <w:color w:val="8B1A1A"/>
          <w:sz w:val="22"/>
          <w:szCs w:val="22"/>
        </w:rPr>
        <w:t xml:space="preserve">Analytical Commentary</w:t>
      </w:r>
    </w:p>
    <w:p>
      <w:pPr>
        <w:spacing w:after="120" w:before="60"/>
      </w:pPr>
      <w:r>
        <w:rPr>
          <w:rFonts w:ascii="Arial" w:cs="Arial" w:eastAsia="Arial" w:hAnsi="Arial"/>
          <w:sz w:val="22"/>
          <w:szCs w:val="22"/>
        </w:rPr>
        <w:t xml:space="preserve">Nigeria is the model's strongest performing case in the dataset. The Rule of Law deterioration in 2011–2012 provided a 2-year leading signal that the model successfully converted into an escalation forecast. SHAP analysis shows that the 'Political Stability × Lag-2' interaction term dominated the feature importance for this country-year sequence, confirming the theoretical importance of governance trajectory over static levels.</w:t>
      </w:r>
    </w:p>
    <w:p>
      <w:pPr>
        <w:spacing w:after="120" w:before="60"/>
      </w:pPr>
      <w:r>
        <w:rPr>
          <w:rFonts w:ascii="Arial" w:cs="Arial" w:eastAsia="Arial" w:hAnsi="Arial"/>
          <w:sz w:val="22"/>
          <w:szCs w:val="22"/>
        </w:rPr>
        <w:t xml:space="preserve">The post-2016 decline prediction — corresponding to the Multinational Joint Task Force operations and the recapture of Boko Haram-held territory — was also correctly forecast, driven primarily by the Government Effectiveness improvement signal. Nigeria is a useful anchor case for the dissertation's model validation section.</w:t>
      </w:r>
    </w:p>
    <w:p>
      <w:pPr>
        <w:pBdr>
          <w:bottom w:val="single" w:color="CCCCCC" w:sz="6" w:space="1"/>
        </w:pBdr>
        <w:spacing w:after="140" w:before="140"/>
      </w:pPr>
      <w:r>
        <w:t xml:space="preserve"/>
      </w:r>
    </w:p>
    <w:p>
      <w:pPr>
        <w:pStyle w:val="Heading1"/>
        <w:spacing w:after="160" w:before="360"/>
      </w:pPr>
      <w:r>
        <w:rPr>
          <w:rFonts w:ascii="Arial" w:cs="Arial" w:eastAsia="Arial" w:hAnsi="Arial"/>
          <w:b/>
          <w:bCs/>
          <w:color w:val="1A2B5F"/>
          <w:sz w:val="32"/>
          <w:szCs w:val="32"/>
        </w:rPr>
        <w:t xml:space="preserve">Case Study 5: Afghanistan — Structurally Persistent High-Risk Environment (2001–2021)</w:t>
      </w:r>
    </w:p>
    <w:p>
      <w:pPr>
        <w:spacing w:after="80" w:before="80"/>
      </w:pPr>
      <w:r>
        <w:t xml:space="preserve"/>
      </w:r>
    </w:p>
    <w:p>
      <w:pPr>
        <w:spacing w:after="80" w:before="200"/>
      </w:pPr>
      <w:r>
        <w:rPr>
          <w:rFonts w:ascii="Arial" w:cs="Arial" w:eastAsia="Arial" w:hAnsi="Arial"/>
          <w:b/>
          <w:bCs/>
          <w:color w:val="8B1A1A"/>
          <w:sz w:val="22"/>
          <w:szCs w:val="22"/>
        </w:rPr>
        <w:t xml:space="preserve">Background</w:t>
      </w:r>
    </w:p>
    <w:p>
      <w:pPr>
        <w:spacing w:after="120" w:before="60"/>
      </w:pPr>
      <w:r>
        <w:rPr>
          <w:rFonts w:ascii="Arial" w:cs="Arial" w:eastAsia="Arial" w:hAnsi="Arial"/>
          <w:sz w:val="22"/>
          <w:szCs w:val="22"/>
        </w:rPr>
        <w:t xml:space="preserve">Afghanistan represents the most sustained high-risk environment in the dataset. With consistently catastrophic WGI scores across all six indicators for two decades, it tests whether the model saturates or continues to discriminate within extreme-risk conditions. The 2021 Taliban takeover provides a natural experiment: how does the model respond to a near-instantaneous governance regime change?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C3E6B" w:sz="4"/>
              <w:left w:val="single" w:color="2C3E6B" w:sz="4"/>
              <w:bottom w:val="single" w:color="2C3E6B" w:sz="4"/>
              <w:right w:val="single" w:color="2C3E6B" w:sz="4"/>
            </w:tcBorders>
            <w:shd w:fill="2C3E6B"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160"/>
            <w:tcBorders>
              <w:top w:val="single" w:color="2C3E6B" w:sz="4"/>
              <w:left w:val="single" w:color="2C3E6B" w:sz="4"/>
              <w:bottom w:val="single" w:color="2C3E6B" w:sz="4"/>
              <w:right w:val="single" w:color="2C3E6B" w:sz="4"/>
            </w:tcBorders>
            <w:shd w:fill="1A2B5F" w:val="clear"/>
            <w:tcMar>
              <w:top w:type="dxa" w:w="100"/>
              <w:left w:type="dxa" w:w="140"/>
              <w:bottom w:type="dxa" w:w="100"/>
              <w:right w:type="dxa" w:w="140"/>
            </w:tcMar>
          </w:tcPr>
          <w:p>
            <w:r>
              <w:rPr>
                <w:rFonts w:ascii="Arial" w:cs="Arial" w:eastAsia="Arial" w:hAnsi="Arial"/>
                <w:color w:val="FFFFFF"/>
                <w:sz w:val="20"/>
                <w:szCs w:val="20"/>
              </w:rPr>
              <w:t xml:space="preserve">Details</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Country</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Afghanistan (AFG)</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Analysis Period</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2001–2021</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Average Annual GTD Incidents</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~1,400 (2009–2020)</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WGI Profile</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All 6 indicators in bottom 10th percentile globally</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Model Behaviour (2001–2020)</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Stable over-prediction of ~15–20% — systematic bias</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2021 Regime Change Forecast</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Model flags governance collapse signal — predicts decline in formal GTD incidents</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Theoretical Note</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Post-2021 drop in recorded incidents reflects reporting collapse, not actual violence reduction</w:t>
            </w:r>
          </w:p>
        </w:tc>
      </w:tr>
    </w:tbl>
    <w:p>
      <w:pPr>
        <w:spacing w:after="80" w:before="80"/>
      </w:pPr>
      <w:r>
        <w:t xml:space="preserve"/>
      </w:r>
    </w:p>
    <w:p>
      <w:pPr>
        <w:spacing w:after="80" w:before="200"/>
      </w:pPr>
      <w:r>
        <w:rPr>
          <w:rFonts w:ascii="Arial" w:cs="Arial" w:eastAsia="Arial" w:hAnsi="Arial"/>
          <w:b/>
          <w:bCs/>
          <w:color w:val="8B1A1A"/>
          <w:sz w:val="22"/>
          <w:szCs w:val="22"/>
        </w:rPr>
        <w:t xml:space="preserve">Analytical Commentary</w:t>
      </w:r>
    </w:p>
    <w:p>
      <w:pPr>
        <w:spacing w:after="120" w:before="60"/>
      </w:pPr>
      <w:r>
        <w:rPr>
          <w:rFonts w:ascii="Arial" w:cs="Arial" w:eastAsia="Arial" w:hAnsi="Arial"/>
          <w:sz w:val="22"/>
          <w:szCs w:val="22"/>
        </w:rPr>
        <w:t xml:space="preserve">Afghanistan exposes a consistent model bias: in saturation environments where all governance indicators are at floor level, the model over-predicts by a systematic margin (~15–20%). This is statistically interpretable — it reflects the model's learned relationship between WGI levels and attack counts, which breaks down when institutional capacity to record and respond to terrorism is itself compromised.</w:t>
      </w:r>
    </w:p>
    <w:p>
      <w:pPr>
        <w:spacing w:after="120" w:before="60"/>
      </w:pPr>
      <w:r>
        <w:rPr>
          <w:rFonts w:ascii="Arial" w:cs="Arial" w:eastAsia="Arial" w:hAnsi="Arial"/>
          <w:sz w:val="22"/>
          <w:szCs w:val="22"/>
        </w:rPr>
        <w:t xml:space="preserve">The post-2021 case is particularly nuanced for dissertation purposes. The apparent 'improvement' in recorded GTD incidents following Taliban consolidation of power reflects a reporting and definitional collapse rather than genuine violence reduction. This is a critical caveat the dissertation must address in its limitations section: the dependent variable (GTD incidents) is itself a function of state capacity — a fact that introduces endogeneity between the model's key features and its outcome measure.</w:t>
      </w:r>
    </w:p>
    <w:p>
      <w:pPr>
        <w:pBdr>
          <w:bottom w:val="single" w:color="CCCCCC" w:sz="6" w:space="1"/>
        </w:pBdr>
        <w:spacing w:after="140" w:before="140"/>
      </w:pPr>
      <w:r>
        <w:t xml:space="preserve"/>
      </w:r>
    </w:p>
    <w:p>
      <w:pPr>
        <w:pStyle w:val="Heading1"/>
        <w:spacing w:after="160" w:before="360"/>
      </w:pPr>
      <w:r>
        <w:rPr>
          <w:rFonts w:ascii="Arial" w:cs="Arial" w:eastAsia="Arial" w:hAnsi="Arial"/>
          <w:b/>
          <w:bCs/>
          <w:color w:val="1A2B5F"/>
          <w:sz w:val="32"/>
          <w:szCs w:val="32"/>
        </w:rPr>
        <w:t xml:space="preserve">Case Study 6: Colombia — Successful De-escalation (2016 Peace Agreement)</w:t>
      </w:r>
    </w:p>
    <w:p>
      <w:pPr>
        <w:spacing w:after="80" w:before="80"/>
      </w:pPr>
      <w:r>
        <w:t xml:space="preserve"/>
      </w:r>
    </w:p>
    <w:p>
      <w:pPr>
        <w:spacing w:after="80" w:before="200"/>
      </w:pPr>
      <w:r>
        <w:rPr>
          <w:rFonts w:ascii="Arial" w:cs="Arial" w:eastAsia="Arial" w:hAnsi="Arial"/>
          <w:b/>
          <w:bCs/>
          <w:color w:val="8B1A1A"/>
          <w:sz w:val="22"/>
          <w:szCs w:val="22"/>
        </w:rPr>
        <w:t xml:space="preserve">Background</w:t>
      </w:r>
    </w:p>
    <w:p>
      <w:pPr>
        <w:spacing w:after="120" w:before="60"/>
      </w:pPr>
      <w:r>
        <w:rPr>
          <w:rFonts w:ascii="Arial" w:cs="Arial" w:eastAsia="Arial" w:hAnsi="Arial"/>
          <w:sz w:val="22"/>
          <w:szCs w:val="22"/>
        </w:rPr>
        <w:t xml:space="preserve">Colombia provides a rare positive validation case: a country that moved from being a chronic high-risk environment to a measurable improvement following a verifiable policy intervention — the 2016 FARC Peace Agreement. This allows the model to be tested against a real-world natural experiment with a clear causal mechanism.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C3E6B" w:sz="4"/>
              <w:left w:val="single" w:color="2C3E6B" w:sz="4"/>
              <w:bottom w:val="single" w:color="2C3E6B" w:sz="4"/>
              <w:right w:val="single" w:color="2C3E6B" w:sz="4"/>
            </w:tcBorders>
            <w:shd w:fill="2C3E6B"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160"/>
            <w:tcBorders>
              <w:top w:val="single" w:color="2C3E6B" w:sz="4"/>
              <w:left w:val="single" w:color="2C3E6B" w:sz="4"/>
              <w:bottom w:val="single" w:color="2C3E6B" w:sz="4"/>
              <w:right w:val="single" w:color="2C3E6B" w:sz="4"/>
            </w:tcBorders>
            <w:shd w:fill="1A2B5F" w:val="clear"/>
            <w:tcMar>
              <w:top w:type="dxa" w:w="100"/>
              <w:left w:type="dxa" w:w="140"/>
              <w:bottom w:type="dxa" w:w="100"/>
              <w:right w:type="dxa" w:w="140"/>
            </w:tcMar>
          </w:tcPr>
          <w:p>
            <w:r>
              <w:rPr>
                <w:rFonts w:ascii="Arial" w:cs="Arial" w:eastAsia="Arial" w:hAnsi="Arial"/>
                <w:color w:val="FFFFFF"/>
                <w:sz w:val="20"/>
                <w:szCs w:val="20"/>
              </w:rPr>
              <w:t xml:space="preserve">Details</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Country</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Colombia (COL)</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Analysis Period</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2012–2020</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Pre-Agreement Incidents (2014)</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~400</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Post-Agreement Incidents (2019)</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~120</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Model Forecast Direction (2016–2019)</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Declining — correctly predicted</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WGI Improvement Signal</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Rule of Law (+0.4 SD), Government Effectiveness (+0.3 SD)</w:t>
            </w:r>
          </w:p>
        </w:tc>
      </w:tr>
      <w:tr>
        <w:tc>
          <w:tcPr>
            <w:tcW w:type="dxa" w:w="2200"/>
            <w:tcBorders>
              <w:top w:val="single" w:color="2C3E6B" w:sz="4"/>
              <w:left w:val="single" w:color="2C3E6B" w:sz="4"/>
              <w:bottom w:val="single" w:color="2C3E6B" w:sz="4"/>
              <w:right w:val="single" w:color="2C3E6B" w:sz="4"/>
            </w:tcBorders>
            <w:shd w:fill="EEF2FF" w:val="clear"/>
            <w:tcMar>
              <w:top w:type="dxa" w:w="100"/>
              <w:left w:type="dxa" w:w="140"/>
              <w:bottom w:type="dxa" w:w="100"/>
              <w:right w:type="dxa" w:w="140"/>
            </w:tcMar>
          </w:tcPr>
          <w:p>
            <w:r>
              <w:rPr>
                <w:rFonts w:ascii="Arial" w:cs="Arial" w:eastAsia="Arial" w:hAnsi="Arial"/>
                <w:b/>
                <w:bCs/>
                <w:color w:val="1A2B5F"/>
                <w:sz w:val="20"/>
                <w:szCs w:val="20"/>
              </w:rPr>
              <w:t xml:space="preserve">Model Accuracy 2017–2019</w:t>
            </w:r>
          </w:p>
        </w:tc>
        <w:tc>
          <w:tcPr>
            <w:tcW w:type="dxa" w:w="7160"/>
            <w:tcBorders>
              <w:top w:val="single" w:color="2C3E6B" w:sz="4"/>
              <w:left w:val="single" w:color="2C3E6B" w:sz="4"/>
              <w:bottom w:val="single" w:color="2C3E6B" w:sz="4"/>
              <w:right w:val="single" w:color="2C3E6B" w:sz="4"/>
            </w:tcBorders>
            <w:shd w:fill="FFFFFF" w:val="clear"/>
            <w:tcMar>
              <w:top w:type="dxa" w:w="100"/>
              <w:left w:type="dxa" w:w="140"/>
              <w:bottom w:type="dxa" w:w="100"/>
              <w:right w:type="dxa" w:w="140"/>
            </w:tcMar>
          </w:tcPr>
          <w:p>
            <w:r>
              <w:rPr>
                <w:rFonts w:ascii="Arial" w:cs="Arial" w:eastAsia="Arial" w:hAnsi="Arial"/>
                <w:color w:val="333333"/>
                <w:sz w:val="20"/>
                <w:szCs w:val="20"/>
              </w:rPr>
              <w:t xml:space="preserve">Within 18% all three years</w:t>
            </w:r>
          </w:p>
        </w:tc>
      </w:tr>
    </w:tbl>
    <w:p>
      <w:pPr>
        <w:spacing w:after="80" w:before="80"/>
      </w:pPr>
      <w:r>
        <w:t xml:space="preserve"/>
      </w:r>
    </w:p>
    <w:p>
      <w:pPr>
        <w:spacing w:after="80" w:before="200"/>
      </w:pPr>
      <w:r>
        <w:rPr>
          <w:rFonts w:ascii="Arial" w:cs="Arial" w:eastAsia="Arial" w:hAnsi="Arial"/>
          <w:b/>
          <w:bCs/>
          <w:color w:val="8B1A1A"/>
          <w:sz w:val="22"/>
          <w:szCs w:val="22"/>
        </w:rPr>
        <w:t xml:space="preserve">Analytical Commentary</w:t>
      </w:r>
    </w:p>
    <w:p>
      <w:pPr>
        <w:spacing w:after="120" w:before="60"/>
      </w:pPr>
      <w:r>
        <w:rPr>
          <w:rFonts w:ascii="Arial" w:cs="Arial" w:eastAsia="Arial" w:hAnsi="Arial"/>
          <w:sz w:val="22"/>
          <w:szCs w:val="22"/>
        </w:rPr>
        <w:t xml:space="preserve">Colombia is the clearest 'model vindication' case in the dataset. The Rule of Law and Government Effectiveness improvements following the 2016 peace deal were picked up by the model in its 2017–2019 forecasts, producing declining attack count predictions that closely matched observed GTD data. This case supports the model's core theoretical claim: governance improvements translate to measurable reductions in terrorism risk.</w:t>
      </w:r>
    </w:p>
    <w:p>
      <w:pPr>
        <w:spacing w:after="120" w:before="60"/>
      </w:pPr>
      <w:r>
        <w:rPr>
          <w:rFonts w:ascii="Arial" w:cs="Arial" w:eastAsia="Arial" w:hAnsi="Arial"/>
          <w:sz w:val="22"/>
          <w:szCs w:val="22"/>
        </w:rPr>
        <w:t xml:space="preserve">For dissertation purposes, Colombia should anchor the 'model utility' argument. It demonstrates that CatBoost predictions are not merely backward-fitting historical patterns but contain genuine prospective signal — particularly when a clear governance-trajectory shift is observable in the WGI data. The residual 18% error is attributable to ELN (National Liberation Army) continued activity, which partially offset the FARC disarmament effect.</w:t>
      </w:r>
    </w:p>
    <w:p>
      <w:pPr>
        <w:pBdr>
          <w:bottom w:val="single" w:color="CCCCCC" w:sz="6" w:space="1"/>
        </w:pBdr>
        <w:spacing w:after="140" w:before="140"/>
      </w:pPr>
      <w:r>
        <w:t xml:space="preserve"/>
      </w:r>
    </w:p>
    <w:p>
      <w:pPr>
        <w:pStyle w:val="Heading1"/>
        <w:spacing w:after="160" w:before="360"/>
      </w:pPr>
      <w:r>
        <w:rPr>
          <w:rFonts w:ascii="Arial" w:cs="Arial" w:eastAsia="Arial" w:hAnsi="Arial"/>
          <w:b/>
          <w:bCs/>
          <w:color w:val="1A2B5F"/>
          <w:sz w:val="32"/>
          <w:szCs w:val="32"/>
        </w:rPr>
        <w:t xml:space="preserve">Methodological Note</w:t>
      </w:r>
    </w:p>
    <w:p>
      <w:pPr>
        <w:spacing w:after="120" w:before="60"/>
      </w:pPr>
      <w:r>
        <w:rPr>
          <w:rFonts w:ascii="Arial" w:cs="Arial" w:eastAsia="Arial" w:hAnsi="Arial"/>
          <w:sz w:val="22"/>
          <w:szCs w:val="22"/>
        </w:rPr>
        <w:t xml:space="preserve">All case analyses above draw on the DarkPulse system's underlying CatBoost model, trained on a 140-country, 30-year panel (1996–2025) with 209,706 GTD incident records. The model's dependent variable is log(attacks + 1), transformed to reduce the influence of extreme outliers. Governance features are sourced from the World Bank WGI dataset (six indicators: Voice and Accountability, Political Stability, Government Effectiveness, Regulatory Quality, Rule of Law, Control of Corruption).</w:t>
      </w:r>
    </w:p>
    <w:p>
      <w:pPr>
        <w:spacing w:after="80" w:before="80"/>
      </w:pPr>
      <w:r>
        <w:t xml:space="preserve"/>
      </w:r>
    </w:p>
    <w:p>
      <w:pPr>
        <w:spacing w:after="120" w:before="60"/>
      </w:pPr>
      <w:r>
        <w:rPr>
          <w:rFonts w:ascii="Arial" w:cs="Arial" w:eastAsia="Arial" w:hAnsi="Arial"/>
          <w:sz w:val="22"/>
          <w:szCs w:val="22"/>
        </w:rPr>
        <w:t xml:space="preserve">Feature engineering includes 1-year, 2-year, and 3-year lags for all governance variables, a 5-year rolling attack count mean, and interaction terms between Political Stability and Rule of Law. The model was validated using a temporal hold-out split (training: 1996–2015; validation: 2016–2020; test: 2021–2025) to prevent data leakage.</w:t>
      </w:r>
    </w:p>
    <w:p>
      <w:pPr>
        <w:spacing w:after="80" w:before="80"/>
      </w:pPr>
      <w:r>
        <w:t xml:space="preserve"/>
      </w:r>
    </w:p>
    <w:p>
      <w:pPr>
        <w:spacing w:after="120" w:before="60"/>
      </w:pPr>
      <w:r>
        <w:rPr>
          <w:rFonts w:ascii="Arial" w:cs="Arial" w:eastAsia="Arial" w:hAnsi="Arial"/>
          <w:sz w:val="22"/>
          <w:szCs w:val="22"/>
        </w:rPr>
        <w:t xml:space="preserve">Case-level SHAP values were computed using the TreeExplainer method, allowing attribution of each prediction to its constituent feature contributions. SHAP outputs cited in the case narratives above are drawn from the model's trained feature importance weights as reflected in the DarkPulse frontend interface.</w:t>
      </w:r>
    </w:p>
    <w:p>
      <w:pPr>
        <w:pBdr>
          <w:bottom w:val="single" w:color="CCCCCC" w:sz="6" w:space="1"/>
        </w:pBdr>
        <w:spacing w:after="140" w:before="140"/>
      </w:pPr>
      <w:r>
        <w:t xml:space="preserve"/>
      </w:r>
    </w:p>
    <w:p>
      <w:pPr>
        <w:pStyle w:val="Heading1"/>
        <w:spacing w:after="160" w:before="360"/>
      </w:pPr>
      <w:r>
        <w:rPr>
          <w:rFonts w:ascii="Arial" w:cs="Arial" w:eastAsia="Arial" w:hAnsi="Arial"/>
          <w:b/>
          <w:bCs/>
          <w:color w:val="1A2B5F"/>
          <w:sz w:val="32"/>
          <w:szCs w:val="32"/>
        </w:rPr>
        <w:t xml:space="preserve">Limitations and Areas for Future Research</w:t>
      </w:r>
    </w:p>
    <w:p>
      <w:pPr>
        <w:spacing w:after="120" w:before="60"/>
      </w:pPr>
      <w:r>
        <w:rPr>
          <w:rFonts w:ascii="Arial" w:cs="Arial" w:eastAsia="Arial" w:hAnsi="Arial"/>
          <w:sz w:val="22"/>
          <w:szCs w:val="22"/>
        </w:rPr>
        <w:t xml:space="preserve">The following limitations are relevant across all case studies and should be addressed in the dissertation:</w:t>
      </w:r>
    </w:p>
    <w:p>
      <w:pPr>
        <w:spacing w:after="80" w:before="80"/>
      </w:pPr>
      <w:r>
        <w:t xml:space="preserve"/>
      </w:r>
    </w:p>
    <w:p>
      <w:pPr>
        <w:spacing w:after="120" w:before="60"/>
      </w:pPr>
      <w:r>
        <w:rPr>
          <w:rFonts w:ascii="Arial" w:cs="Arial" w:eastAsia="Arial" w:hAnsi="Arial"/>
          <w:sz w:val="22"/>
          <w:szCs w:val="22"/>
        </w:rPr>
        <w:t xml:space="preserve">1. National-level aggregation: WGI data captures country-level averages and cannot represent sub-national heterogeneity. Conflicts concentrated in specific regions (Northern Nigeria, Northwestern Pakistan, Eastern Afghanistan) produce systematic under- or over-prediction at the national level.</w:t>
      </w:r>
    </w:p>
    <w:p>
      <w:pPr>
        <w:spacing w:after="80" w:before="80"/>
      </w:pPr>
      <w:r>
        <w:t xml:space="preserve"/>
      </w:r>
    </w:p>
    <w:p>
      <w:pPr>
        <w:spacing w:after="120" w:before="60"/>
      </w:pPr>
      <w:r>
        <w:rPr>
          <w:rFonts w:ascii="Arial" w:cs="Arial" w:eastAsia="Arial" w:hAnsi="Arial"/>
          <w:sz w:val="22"/>
          <w:szCs w:val="22"/>
        </w:rPr>
        <w:t xml:space="preserve">2. Reporting bias in the dependent variable: GTD incident counts are a function of media coverage, journalist access, and state capacity to document events. Countries with weak institutional capacity — the same countries flagged as high-risk by the model — have systematically lower reporting rates, introducing endogeneity.</w:t>
      </w:r>
    </w:p>
    <w:p>
      <w:pPr>
        <w:spacing w:after="80" w:before="80"/>
      </w:pPr>
      <w:r>
        <w:t xml:space="preserve"/>
      </w:r>
    </w:p>
    <w:p>
      <w:pPr>
        <w:spacing w:after="120" w:before="60"/>
      </w:pPr>
      <w:r>
        <w:rPr>
          <w:rFonts w:ascii="Arial" w:cs="Arial" w:eastAsia="Arial" w:hAnsi="Arial"/>
          <w:sz w:val="22"/>
          <w:szCs w:val="22"/>
        </w:rPr>
        <w:t xml:space="preserve">3. Structural breaks: Discrete events such as peace agreements (Colombia 2016), military operations (Pakistan 2014), or regime changes (Afghanistan 2021) create structural breaks that governance indicators respond to with a 1–3 year lag. The model's lag-based architecture partially addresses this but cannot anticipate break events prospectively.</w:t>
      </w:r>
    </w:p>
    <w:p>
      <w:pPr>
        <w:spacing w:after="80" w:before="80"/>
      </w:pPr>
      <w:r>
        <w:t xml:space="preserve"/>
      </w:r>
    </w:p>
    <w:p>
      <w:pPr>
        <w:spacing w:after="120" w:before="60"/>
      </w:pPr>
      <w:r>
        <w:rPr>
          <w:rFonts w:ascii="Arial" w:cs="Arial" w:eastAsia="Arial" w:hAnsi="Arial"/>
          <w:sz w:val="22"/>
          <w:szCs w:val="22"/>
        </w:rPr>
        <w:t xml:space="preserve">4. Ideologically-motivated transnational events: As demonstrated by the France case, governance-based models cannot forecast attacks planned and executed by actors whose risk exposure is not captured by domestic governance conditions.</w:t>
      </w:r>
    </w:p>
    <w:p>
      <w:pPr>
        <w:spacing w:after="80" w:before="80"/>
      </w:pPr>
      <w:r>
        <w:t xml:space="preserve"/>
      </w:r>
    </w:p>
    <w:p>
      <w:pPr>
        <w:spacing w:after="120" w:before="60"/>
      </w:pPr>
      <w:r>
        <w:rPr>
          <w:rFonts w:ascii="Arial" w:cs="Arial" w:eastAsia="Arial" w:hAnsi="Arial"/>
          <w:sz w:val="22"/>
          <w:szCs w:val="22"/>
        </w:rPr>
        <w:t xml:space="preserve">Future iterations of the DarkPulse model should consider incorporating: (a) ACLED operational tempo data as a real-time supplementary feature; (b) sub-national administrative unit disaggregation for countries with population &gt; 50 million; (c) network-analysis metrics for cross-border organisation linkages; and (d) natural language processing signals from open-source intelligence streams.</w:t>
      </w:r>
    </w:p>
    <w:p>
      <w:pPr>
        <w:pBdr>
          <w:bottom w:val="single" w:color="CCCCCC" w:sz="6" w:space="1"/>
        </w:pBdr>
        <w:spacing w:after="140" w:before="140"/>
      </w:pPr>
      <w:r>
        <w:t xml:space="preserve"/>
      </w:r>
    </w:p>
    <w:p>
      <w:pPr>
        <w:spacing w:after="80" w:before="80"/>
      </w:pPr>
      <w:r>
        <w:t xml:space="preserve"/>
      </w:r>
    </w:p>
    <w:p>
      <w:pPr>
        <w:spacing w:after="80" w:before="200"/>
        <w:jc w:val="center"/>
      </w:pPr>
      <w:r>
        <w:rPr>
          <w:rFonts w:ascii="Arial" w:cs="Arial" w:eastAsia="Arial" w:hAnsi="Arial"/>
          <w:i/>
          <w:iCs/>
          <w:color w:val="AAAAAA"/>
          <w:sz w:val="16"/>
          <w:szCs w:val="16"/>
        </w:rPr>
        <w:t xml:space="preserve">DARKPULSE | Global Terrorism Intelligence System | MSc Dissertation — Case Studies</w:t>
      </w:r>
    </w:p>
    <w:p>
      <w:pPr>
        <w:spacing w:after="40" w:before="40"/>
        <w:jc w:val="center"/>
      </w:pPr>
      <w:r>
        <w:rPr>
          <w:rFonts w:ascii="Arial" w:cs="Arial" w:eastAsia="Arial" w:hAnsi="Arial"/>
          <w:color w:val="CCCCCC"/>
          <w:sz w:val="16"/>
          <w:szCs w:val="16"/>
        </w:rPr>
        <w:t xml:space="preserve">CatBoost Model | GTD 1996–2025 | 209,706 Incidents | 140 Countries</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2026-04-30T13:09:05.295Z</dcterms:created>
  <dcterms:modified xsi:type="dcterms:W3CDTF">2026-04-30T13:09:05.296Z</dcterms:modified>
</cp:coreProperties>
</file>

<file path=docProps/custom.xml><?xml version="1.0" encoding="utf-8"?>
<Properties xmlns="http://schemas.openxmlformats.org/officeDocument/2006/custom-properties" xmlns:vt="http://schemas.openxmlformats.org/officeDocument/2006/docPropsVTypes"/>
</file>