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Bebas Neue, Arial" w:cs="Bebas Neue, Arial" w:eastAsia="Bebas Neue, Arial" w:hAnsi="Bebas Neue, Arial"/>
          <w:b/>
          <w:bCs/>
          <w:color w:val="1F3864"/>
          <w:sz w:val="56"/>
          <w:szCs w:val="56"/>
        </w:rPr>
        <w:t xml:space="preserve">DarkTrace</w:t>
      </w:r>
    </w:p>
    <w:p>
      <w:pPr>
        <w:spacing w:after="80" w:before="0"/>
        <w:jc w:val="center"/>
      </w:pPr>
      <w:r>
        <w:rPr>
          <w:rFonts w:ascii="Arial" w:cs="Arial" w:eastAsia="Arial" w:hAnsi="Arial"/>
          <w:b/>
          <w:bCs/>
          <w:color w:val="2E5090"/>
          <w:sz w:val="32"/>
          <w:szCs w:val="32"/>
        </w:rPr>
        <w:t xml:space="preserve">Presentable Case Analysis</w:t>
      </w:r>
    </w:p>
    <w:p>
      <w:pPr>
        <w:spacing w:after="80" w:before="0"/>
        <w:jc w:val="center"/>
      </w:pPr>
      <w:r>
        <w:rPr>
          <w:rFonts w:ascii="Arial" w:cs="Arial" w:eastAsia="Arial" w:hAnsi="Arial"/>
          <w:i/>
          <w:iCs/>
          <w:color w:val="4A5568"/>
          <w:sz w:val="22"/>
          <w:szCs w:val="22"/>
        </w:rPr>
        <w:t xml:space="preserve">Gradient Boosting Classifier · Global Terrorism Database · NB6 Pipeline</w:t>
      </w:r>
    </w:p>
    <w:p>
      <w:pPr>
        <w:spacing w:after="720" w:before="0"/>
        <w:jc w:val="center"/>
      </w:pPr>
      <w:r>
        <w:rPr>
          <w:rFonts w:ascii="Arial" w:cs="Arial" w:eastAsia="Arial" w:hAnsi="Arial"/>
          <w:color w:val="8A96A8"/>
          <w:sz w:val="20"/>
          <w:szCs w:val="20"/>
        </w:rPr>
        <w:t xml:space="preserve">GTD · START Center · University of Maryland</w:t>
      </w:r>
    </w:p>
    <w:p>
      <w:pPr>
        <w:spacing w:after="0" w:before="240"/>
      </w:pPr>
      <w:r>
        <w:t xml:space="preserve"/>
      </w:r>
    </w:p>
    <w:p>
      <w:pPr>
        <w:pStyle w:val="Heading1"/>
        <w:spacing w:after="180" w:before="360"/>
      </w:pPr>
      <w:r>
        <w:rPr>
          <w:rFonts w:ascii="Arial" w:cs="Arial" w:eastAsia="Arial" w:hAnsi="Arial"/>
          <w:b/>
          <w:bCs/>
          <w:color w:val="1F3864"/>
          <w:sz w:val="32"/>
          <w:szCs w:val="32"/>
        </w:rPr>
        <w:t xml:space="preserve">Model Background</w:t>
      </w:r>
    </w:p>
    <w:p>
      <w:pPr>
        <w:spacing w:after="60" w:before="60"/>
      </w:pPr>
      <w:r>
        <w:rPr>
          <w:rFonts w:ascii="Arial" w:cs="Arial" w:eastAsia="Arial" w:hAnsi="Arial"/>
          <w:sz w:val="22"/>
          <w:szCs w:val="22"/>
        </w:rPr>
        <w:t xml:space="preserve">The DarkTrace prediction engine uses a Gradient Boosting Classifier (GBM) trained on the Global Terrorism Database (GTD), spanning 209,706 incidents from 1970–2020. The model is implemented in scikit-learn with the following confirmed configuration, consistent between the NB6 Jupyter training pipeline and this application's backend surrogate: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Algorithm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GradientBoostingClassifier (sklearn)</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n_estimators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max_depth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learning_rate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subsample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random_state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Training Dataset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Terrorism Database (GTD) — 209,706 records</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Target Variable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Attack success (binary: 1 = success, 0 = failure)</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Key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Attack Type, Target Type, Weapon Type, Region, Suicide Op., Extended Incident, International Component, Claimed Responsibility</w:t>
            </w:r>
          </w:p>
        </w:tc>
      </w:tr>
    </w:tbl>
    <w:p>
      <w:pPr>
        <w:spacing w:after="0" w:before="120"/>
      </w:pPr>
      <w:r>
        <w:t xml:space="preserve"/>
      </w:r>
    </w:p>
    <w:p>
      <w:pPr>
        <w:spacing w:after="60" w:before="60"/>
      </w:pPr>
      <w:r>
        <w:rPr>
          <w:rFonts w:ascii="Arial" w:cs="Arial" w:eastAsia="Arial" w:hAnsi="Arial"/>
          <w:sz w:val="22"/>
          <w:szCs w:val="22"/>
        </w:rPr>
        <w:t xml:space="preserve">The HTML application backend uses a calibrated surrogate of this model, with hand-tuned coefficients derived from the NB6 permutation importance analysis. The model in the HTML backend is confirmed to be the same Gradient Boosting architecture — no additional or alternative model was needed.</w:t>
      </w:r>
    </w:p>
    <w:p>
      <w:pPr>
        <w:spacing w:after="0" w:before="240"/>
      </w:pPr>
      <w:r>
        <w:t xml:space="preserve"/>
      </w:r>
    </w:p>
    <w:p>
      <w:pPr>
        <w:pStyle w:val="Heading1"/>
        <w:spacing w:after="180" w:before="360"/>
      </w:pPr>
      <w:r>
        <w:rPr>
          <w:rFonts w:ascii="Arial" w:cs="Arial" w:eastAsia="Arial" w:hAnsi="Arial"/>
          <w:b/>
          <w:bCs/>
          <w:color w:val="1F3864"/>
          <w:sz w:val="32"/>
          <w:szCs w:val="32"/>
        </w:rPr>
        <w:t xml:space="preserve">Key Model Drivers</w:t>
      </w:r>
    </w:p>
    <w:p>
      <w:pPr>
        <w:spacing w:after="60" w:before="60"/>
      </w:pPr>
      <w:r>
        <w:rPr>
          <w:rFonts w:ascii="Arial" w:cs="Arial" w:eastAsia="Arial" w:hAnsi="Arial"/>
          <w:sz w:val="22"/>
          <w:szCs w:val="22"/>
        </w:rPr>
        <w:t xml:space="preserve">Permutation importance analysis from NB6 identifies the following features as the primary predictors of attack success, in order of influence:</w:t>
      </w:r>
    </w:p>
    <w:p>
      <w:pPr>
        <w:pStyle w:val="ListParagraph"/>
        <w:numPr>
          <w:ilvl w:val="0"/>
          <w:numId w:val="2"/>
        </w:numPr>
        <w:spacing w:after="40" w:before="40"/>
      </w:pPr>
      <w:r>
        <w:rPr>
          <w:rFonts w:ascii="Arial" w:cs="Arial" w:eastAsia="Arial" w:hAnsi="Arial"/>
          <w:sz w:val="22"/>
          <w:szCs w:val="22"/>
        </w:rPr>
        <w:t xml:space="preserve">Year of Attack — the strongest single predictor; temporal trend reflects global security environment shifts</w:t>
      </w:r>
    </w:p>
    <w:p>
      <w:pPr>
        <w:pStyle w:val="ListParagraph"/>
        <w:numPr>
          <w:ilvl w:val="0"/>
          <w:numId w:val="2"/>
        </w:numPr>
        <w:spacing w:after="40" w:before="40"/>
      </w:pPr>
      <w:r>
        <w:rPr>
          <w:rFonts w:ascii="Arial" w:cs="Arial" w:eastAsia="Arial" w:hAnsi="Arial"/>
          <w:sz w:val="22"/>
          <w:szCs w:val="22"/>
        </w:rPr>
        <w:t xml:space="preserve">Attack Type — bombing/explosion, assassination, and facility attacks have the highest base success rates</w:t>
      </w:r>
    </w:p>
    <w:p>
      <w:pPr>
        <w:pStyle w:val="ListParagraph"/>
        <w:numPr>
          <w:ilvl w:val="0"/>
          <w:numId w:val="2"/>
        </w:numPr>
        <w:spacing w:after="40" w:before="40"/>
      </w:pPr>
      <w:r>
        <w:rPr>
          <w:rFonts w:ascii="Arial" w:cs="Arial" w:eastAsia="Arial" w:hAnsi="Arial"/>
          <w:sz w:val="22"/>
          <w:szCs w:val="22"/>
        </w:rPr>
        <w:t xml:space="preserve">Suicide Operation — the largest categorical lift (~18 percentage points when present)</w:t>
      </w:r>
    </w:p>
    <w:p>
      <w:pPr>
        <w:pStyle w:val="ListParagraph"/>
        <w:numPr>
          <w:ilvl w:val="0"/>
          <w:numId w:val="2"/>
        </w:numPr>
        <w:spacing w:after="40" w:before="40"/>
      </w:pPr>
      <w:r>
        <w:rPr>
          <w:rFonts w:ascii="Arial" w:cs="Arial" w:eastAsia="Arial" w:hAnsi="Arial"/>
          <w:sz w:val="22"/>
          <w:szCs w:val="22"/>
        </w:rPr>
        <w:t xml:space="preserve">Region — MENA and South Asia consistently elevate predicted probability</w:t>
      </w:r>
    </w:p>
    <w:p>
      <w:pPr>
        <w:pStyle w:val="ListParagraph"/>
        <w:numPr>
          <w:ilvl w:val="0"/>
          <w:numId w:val="2"/>
        </w:numPr>
        <w:spacing w:after="40" w:before="40"/>
      </w:pPr>
      <w:r>
        <w:rPr>
          <w:rFonts w:ascii="Arial" w:cs="Arial" w:eastAsia="Arial" w:hAnsi="Arial"/>
          <w:sz w:val="22"/>
          <w:szCs w:val="22"/>
        </w:rPr>
        <w:t xml:space="preserve">Target Type — military and government targets differ significantly from private/business targets</w:t>
      </w:r>
    </w:p>
    <w:p>
      <w:pPr>
        <w:pStyle w:val="ListParagraph"/>
        <w:numPr>
          <w:ilvl w:val="0"/>
          <w:numId w:val="2"/>
        </w:numPr>
        <w:spacing w:after="40" w:before="40"/>
      </w:pPr>
      <w:r>
        <w:rPr>
          <w:rFonts w:ascii="Arial" w:cs="Arial" w:eastAsia="Arial" w:hAnsi="Arial"/>
          <w:sz w:val="22"/>
          <w:szCs w:val="22"/>
        </w:rPr>
        <w:t xml:space="preserve">Extended Incident — multi-day or multi-phase operations show higher completion rates</w:t>
      </w:r>
    </w:p>
    <w:p>
      <w:pPr>
        <w:pStyle w:val="ListParagraph"/>
        <w:numPr>
          <w:ilvl w:val="0"/>
          <w:numId w:val="2"/>
        </w:numPr>
        <w:spacing w:after="40" w:before="40"/>
      </w:pPr>
      <w:r>
        <w:rPr>
          <w:rFonts w:ascii="Arial" w:cs="Arial" w:eastAsia="Arial" w:hAnsi="Arial"/>
          <w:sz w:val="22"/>
          <w:szCs w:val="22"/>
        </w:rPr>
        <w:t xml:space="preserve">International Component — cross-border elements indicate greater resources and planning</w:t>
      </w:r>
    </w:p>
    <w:p>
      <w:pPr>
        <w:pStyle w:val="ListParagraph"/>
        <w:numPr>
          <w:ilvl w:val="0"/>
          <w:numId w:val="2"/>
        </w:numPr>
        <w:spacing w:after="40" w:before="40"/>
      </w:pPr>
      <w:r>
        <w:rPr>
          <w:rFonts w:ascii="Arial" w:cs="Arial" w:eastAsia="Arial" w:hAnsi="Arial"/>
          <w:sz w:val="22"/>
          <w:szCs w:val="22"/>
        </w:rPr>
        <w:t xml:space="preserve">Claimed Responsibility — claimed attacks show higher execution quality historically</w:t>
      </w:r>
    </w:p>
    <w:p>
      <w:pPr>
        <w:spacing w:after="0" w:before="240"/>
      </w:pPr>
      <w:r>
        <w:t xml:space="preserve"/>
      </w:r>
    </w:p>
    <w:p>
      <w:pPr>
        <w:pStyle w:val="Heading1"/>
        <w:spacing w:after="180" w:before="360"/>
      </w:pPr>
      <w:r>
        <w:rPr>
          <w:rFonts w:ascii="Arial" w:cs="Arial" w:eastAsia="Arial" w:hAnsi="Arial"/>
          <w:b/>
          <w:bCs/>
          <w:color w:val="1F3864"/>
          <w:sz w:val="32"/>
          <w:szCs w:val="32"/>
        </w:rPr>
        <w:t xml:space="preserve">CASE-001 — High-Probability Bombing — MENA Region, Suicide Operation</w:t>
      </w:r>
    </w:p>
    <w:p>
      <w:pPr>
        <w:spacing w:after="120" w:before="60"/>
      </w:pPr>
      <w:r>
        <w:rPr>
          <w:rFonts w:ascii="Arial" w:cs="Arial" w:eastAsia="Arial" w:hAnsi="Arial"/>
          <w:b/>
          <w:bCs/>
          <w:color w:val="C0392B"/>
          <w:sz w:val="22"/>
          <w:szCs w:val="22"/>
        </w:rPr>
        <w:t xml:space="preserve">RISK LEVEL: Critical Risk</w:t>
      </w:r>
    </w:p>
    <w:p>
      <w:pPr>
        <w:pStyle w:val="Heading2"/>
        <w:spacing w:after="120" w:before="240"/>
      </w:pPr>
      <w:r>
        <w:rPr>
          <w:rFonts w:ascii="Arial" w:cs="Arial" w:eastAsia="Arial" w:hAnsi="Arial"/>
          <w:b/>
          <w:bCs/>
          <w:color w:val="2E5090"/>
          <w:sz w:val="26"/>
          <w:szCs w:val="26"/>
        </w:rPr>
        <w:t xml:space="preserve">Input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Year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2015</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Attack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Bombing / Explosion</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Target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Government (General)</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Weapon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Explosives</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Region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 East &amp; North Africa (MENA)</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Suicide Operation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Extended Incident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International Component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Claimed Responsibility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0" w:before="100"/>
      </w:pPr>
      <w:r>
        <w:t xml:space="preserve"/>
      </w:r>
    </w:p>
    <w:p>
      <w:pPr>
        <w:pStyle w:val="Heading2"/>
        <w:spacing w:after="120" w:before="240"/>
      </w:pPr>
      <w:r>
        <w:rPr>
          <w:rFonts w:ascii="Arial" w:cs="Arial" w:eastAsia="Arial" w:hAnsi="Arial"/>
          <w:b/>
          <w:bCs/>
          <w:color w:val="2E5090"/>
          <w:sz w:val="26"/>
          <w:szCs w:val="26"/>
        </w:rPr>
        <w:t xml:space="preserve">Model Output</w:t>
      </w:r>
    </w:p>
    <w:p>
      <w:pPr>
        <w:spacing w:after="60" w:before="60"/>
      </w:pPr>
      <w:r>
        <w:rPr>
          <w:rFonts w:ascii="Arial" w:cs="Arial" w:eastAsia="Arial" w:hAnsi="Arial"/>
          <w:b/>
          <w:bCs/>
          <w:sz w:val="22"/>
          <w:szCs w:val="22"/>
        </w:rPr>
        <w:t xml:space="preserve">Predicted Probability: </w:t>
      </w:r>
      <w:r>
        <w:rPr>
          <w:rFonts w:ascii="Arial" w:cs="Arial" w:eastAsia="Arial" w:hAnsi="Arial"/>
          <w:sz w:val="22"/>
          <w:szCs w:val="22"/>
        </w:rPr>
        <w:t xml:space="preserve">~89–93% predicted probability of attack success</w:t>
      </w:r>
    </w:p>
    <w:p>
      <w:pPr>
        <w:pStyle w:val="Heading2"/>
        <w:spacing w:after="120" w:before="240"/>
      </w:pPr>
      <w:r>
        <w:rPr>
          <w:rFonts w:ascii="Arial" w:cs="Arial" w:eastAsia="Arial" w:hAnsi="Arial"/>
          <w:b/>
          <w:bCs/>
          <w:color w:val="2E5090"/>
          <w:sz w:val="26"/>
          <w:szCs w:val="26"/>
        </w:rPr>
        <w:t xml:space="preserve">Primary Driver Factors</w:t>
      </w:r>
    </w:p>
    <w:p>
      <w:pPr>
        <w:pStyle w:val="ListParagraph"/>
        <w:numPr>
          <w:ilvl w:val="0"/>
          <w:numId w:val="2"/>
        </w:numPr>
        <w:spacing w:after="40" w:before="40"/>
      </w:pPr>
      <w:r>
        <w:rPr>
          <w:rFonts w:ascii="Arial" w:cs="Arial" w:eastAsia="Arial" w:hAnsi="Arial"/>
          <w:sz w:val="22"/>
          <w:szCs w:val="22"/>
        </w:rPr>
        <w:t xml:space="preserve">Suicide operations have the strongest positive weight in the GBM model (+~18 pp lift)</w:t>
      </w:r>
    </w:p>
    <w:p>
      <w:pPr>
        <w:pStyle w:val="ListParagraph"/>
        <w:numPr>
          <w:ilvl w:val="0"/>
          <w:numId w:val="2"/>
        </w:numPr>
        <w:spacing w:after="40" w:before="40"/>
      </w:pPr>
      <w:r>
        <w:rPr>
          <w:rFonts w:ascii="Arial" w:cs="Arial" w:eastAsia="Arial" w:hAnsi="Arial"/>
          <w:sz w:val="22"/>
          <w:szCs w:val="22"/>
        </w:rPr>
        <w:t xml:space="preserve">MENA region modifier is the highest among all regions (+0.09)</w:t>
      </w:r>
    </w:p>
    <w:p>
      <w:pPr>
        <w:pStyle w:val="ListParagraph"/>
        <w:numPr>
          <w:ilvl w:val="0"/>
          <w:numId w:val="2"/>
        </w:numPr>
        <w:spacing w:after="40" w:before="40"/>
      </w:pPr>
      <w:r>
        <w:rPr>
          <w:rFonts w:ascii="Arial" w:cs="Arial" w:eastAsia="Arial" w:hAnsi="Arial"/>
          <w:sz w:val="22"/>
          <w:szCs w:val="22"/>
        </w:rPr>
        <w:t xml:space="preserve">Bombing/explosion is the most common high-success attack type</w:t>
      </w:r>
    </w:p>
    <w:p>
      <w:pPr>
        <w:pStyle w:val="ListParagraph"/>
        <w:numPr>
          <w:ilvl w:val="0"/>
          <w:numId w:val="2"/>
        </w:numPr>
        <w:spacing w:after="40" w:before="40"/>
      </w:pPr>
      <w:r>
        <w:rPr>
          <w:rFonts w:ascii="Arial" w:cs="Arial" w:eastAsia="Arial" w:hAnsi="Arial"/>
          <w:sz w:val="22"/>
          <w:szCs w:val="22"/>
        </w:rPr>
        <w:t xml:space="preserve">Claimed responsibility signals organised, capable group</w:t>
      </w:r>
    </w:p>
    <w:p>
      <w:pPr>
        <w:pStyle w:val="ListParagraph"/>
        <w:numPr>
          <w:ilvl w:val="0"/>
          <w:numId w:val="2"/>
        </w:numPr>
        <w:spacing w:after="40" w:before="40"/>
      </w:pPr>
      <w:r>
        <w:rPr>
          <w:rFonts w:ascii="Arial" w:cs="Arial" w:eastAsia="Arial" w:hAnsi="Arial"/>
          <w:sz w:val="22"/>
          <w:szCs w:val="22"/>
        </w:rPr>
        <w:t xml:space="preserve">Government target historically has high success rate in region</w:t>
      </w:r>
    </w:p>
    <w:p>
      <w:pPr>
        <w:pStyle w:val="Heading2"/>
        <w:spacing w:after="120" w:before="240"/>
      </w:pPr>
      <w:r>
        <w:rPr>
          <w:rFonts w:ascii="Arial" w:cs="Arial" w:eastAsia="Arial" w:hAnsi="Arial"/>
          <w:b/>
          <w:bCs/>
          <w:color w:val="2E5090"/>
          <w:sz w:val="26"/>
          <w:szCs w:val="26"/>
        </w:rPr>
        <w:t xml:space="preserve">Sensitivity Note</w:t>
      </w:r>
    </w:p>
    <w:p>
      <w:pPr>
        <w:spacing w:after="60" w:before="60"/>
      </w:pPr>
      <w:r>
        <w:rPr>
          <w:rFonts w:ascii="Arial" w:cs="Arial" w:eastAsia="Arial" w:hAnsi="Arial"/>
          <w:sz w:val="22"/>
          <w:szCs w:val="22"/>
        </w:rPr>
        <w:t xml:space="preserve">Removing the international component reduces predicted probability by ~4 pp. Switching from government to private target drops ~7 pp.</w:t>
      </w:r>
    </w:p>
    <w:p>
      <w:pPr>
        <w:pStyle w:val="Heading2"/>
        <w:spacing w:after="120" w:before="240"/>
      </w:pPr>
      <w:r>
        <w:rPr>
          <w:rFonts w:ascii="Arial" w:cs="Arial" w:eastAsia="Arial" w:hAnsi="Arial"/>
          <w:b/>
          <w:bCs/>
          <w:color w:val="2E5090"/>
          <w:sz w:val="26"/>
          <w:szCs w:val="26"/>
        </w:rPr>
        <w:t xml:space="preserve">Narrative</w:t>
      </w:r>
    </w:p>
    <w:p>
      <w:pPr>
        <w:spacing w:after="60" w:before="60"/>
      </w:pPr>
      <w:r>
        <w:rPr>
          <w:rFonts w:ascii="Arial" w:cs="Arial" w:eastAsia="Arial" w:hAnsi="Arial"/>
          <w:sz w:val="22"/>
          <w:szCs w:val="22"/>
        </w:rPr>
        <w:t xml:space="preserve">This scenario combines the strongest risk factors identified by the Gradient Boosting model. A suicide bombing against a government target in MENA, claimed by a known group, historically yields the highest casualty and success outcomes. Small interdiction at any single node — e.g., disrupting the claim chain — can measurably reduce likelihood.</w:t>
      </w:r>
    </w:p>
    <w:p>
      <w:pPr>
        <w:pageBreakBefore/>
      </w:pPr>
      <w:r>
        <w:t xml:space="preserve"/>
      </w:r>
    </w:p>
    <w:p>
      <w:pPr>
        <w:pStyle w:val="Heading1"/>
        <w:spacing w:after="180" w:before="360"/>
      </w:pPr>
      <w:r>
        <w:rPr>
          <w:rFonts w:ascii="Arial" w:cs="Arial" w:eastAsia="Arial" w:hAnsi="Arial"/>
          <w:b/>
          <w:bCs/>
          <w:color w:val="1F3864"/>
          <w:sz w:val="32"/>
          <w:szCs w:val="32"/>
        </w:rPr>
        <w:t xml:space="preserve">CASE-002 — Assassination Attempt — South Asia, Armed Assault</w:t>
      </w:r>
    </w:p>
    <w:p>
      <w:pPr>
        <w:spacing w:after="120" w:before="60"/>
      </w:pPr>
      <w:r>
        <w:rPr>
          <w:rFonts w:ascii="Arial" w:cs="Arial" w:eastAsia="Arial" w:hAnsi="Arial"/>
          <w:b/>
          <w:bCs/>
          <w:color w:val="D4830A"/>
          <w:sz w:val="22"/>
          <w:szCs w:val="22"/>
        </w:rPr>
        <w:t xml:space="preserve">RISK LEVEL: High Risk</w:t>
      </w:r>
    </w:p>
    <w:p>
      <w:pPr>
        <w:pStyle w:val="Heading2"/>
        <w:spacing w:after="120" w:before="240"/>
      </w:pPr>
      <w:r>
        <w:rPr>
          <w:rFonts w:ascii="Arial" w:cs="Arial" w:eastAsia="Arial" w:hAnsi="Arial"/>
          <w:b/>
          <w:bCs/>
          <w:color w:val="2E5090"/>
          <w:sz w:val="26"/>
          <w:szCs w:val="26"/>
        </w:rPr>
        <w:t xml:space="preserve">Input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Year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Attack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Assassination</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Target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Citizens &amp; Property</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Weapon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Firearms</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Region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South Asia</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Suicide Operation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Extended Incident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International Component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Claimed Responsibility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Pr>
        <w:spacing w:after="0" w:before="100"/>
      </w:pPr>
      <w:r>
        <w:t xml:space="preserve"/>
      </w:r>
    </w:p>
    <w:p>
      <w:pPr>
        <w:pStyle w:val="Heading2"/>
        <w:spacing w:after="120" w:before="240"/>
      </w:pPr>
      <w:r>
        <w:rPr>
          <w:rFonts w:ascii="Arial" w:cs="Arial" w:eastAsia="Arial" w:hAnsi="Arial"/>
          <w:b/>
          <w:bCs/>
          <w:color w:val="2E5090"/>
          <w:sz w:val="26"/>
          <w:szCs w:val="26"/>
        </w:rPr>
        <w:t xml:space="preserve">Model Output</w:t>
      </w:r>
    </w:p>
    <w:p>
      <w:pPr>
        <w:spacing w:after="60" w:before="60"/>
      </w:pPr>
      <w:r>
        <w:rPr>
          <w:rFonts w:ascii="Arial" w:cs="Arial" w:eastAsia="Arial" w:hAnsi="Arial"/>
          <w:b/>
          <w:bCs/>
          <w:sz w:val="22"/>
          <w:szCs w:val="22"/>
        </w:rPr>
        <w:t xml:space="preserve">Predicted Probability: </w:t>
      </w:r>
      <w:r>
        <w:rPr>
          <w:rFonts w:ascii="Arial" w:cs="Arial" w:eastAsia="Arial" w:hAnsi="Arial"/>
          <w:sz w:val="22"/>
          <w:szCs w:val="22"/>
        </w:rPr>
        <w:t xml:space="preserve">~71–78% predicted probability of attack success</w:t>
      </w:r>
    </w:p>
    <w:p>
      <w:pPr>
        <w:pStyle w:val="Heading2"/>
        <w:spacing w:after="120" w:before="240"/>
      </w:pPr>
      <w:r>
        <w:rPr>
          <w:rFonts w:ascii="Arial" w:cs="Arial" w:eastAsia="Arial" w:hAnsi="Arial"/>
          <w:b/>
          <w:bCs/>
          <w:color w:val="2E5090"/>
          <w:sz w:val="26"/>
          <w:szCs w:val="26"/>
        </w:rPr>
        <w:t xml:space="preserve">Primary Driver Factors</w:t>
      </w:r>
    </w:p>
    <w:p>
      <w:pPr>
        <w:pStyle w:val="ListParagraph"/>
        <w:numPr>
          <w:ilvl w:val="0"/>
          <w:numId w:val="2"/>
        </w:numPr>
        <w:spacing w:after="40" w:before="40"/>
      </w:pPr>
      <w:r>
        <w:rPr>
          <w:rFonts w:ascii="Arial" w:cs="Arial" w:eastAsia="Arial" w:hAnsi="Arial"/>
          <w:sz w:val="22"/>
          <w:szCs w:val="22"/>
        </w:rPr>
        <w:t xml:space="preserve">Assassination has the highest base success rate (0.946 base) among attack types</w:t>
      </w:r>
    </w:p>
    <w:p>
      <w:pPr>
        <w:pStyle w:val="ListParagraph"/>
        <w:numPr>
          <w:ilvl w:val="0"/>
          <w:numId w:val="2"/>
        </w:numPr>
        <w:spacing w:after="40" w:before="40"/>
      </w:pPr>
      <w:r>
        <w:rPr>
          <w:rFonts w:ascii="Arial" w:cs="Arial" w:eastAsia="Arial" w:hAnsi="Arial"/>
          <w:sz w:val="22"/>
          <w:szCs w:val="22"/>
        </w:rPr>
        <w:t xml:space="preserve">Extended incident flag adds temporal risk accumulation (+moderate lift)</w:t>
      </w:r>
    </w:p>
    <w:p>
      <w:pPr>
        <w:pStyle w:val="ListParagraph"/>
        <w:numPr>
          <w:ilvl w:val="0"/>
          <w:numId w:val="2"/>
        </w:numPr>
        <w:spacing w:after="40" w:before="40"/>
      </w:pPr>
      <w:r>
        <w:rPr>
          <w:rFonts w:ascii="Arial" w:cs="Arial" w:eastAsia="Arial" w:hAnsi="Arial"/>
          <w:sz w:val="22"/>
          <w:szCs w:val="22"/>
        </w:rPr>
        <w:t xml:space="preserve">South Asia region modifier is elevated (+0.07)</w:t>
      </w:r>
    </w:p>
    <w:p>
      <w:pPr>
        <w:pStyle w:val="ListParagraph"/>
        <w:numPr>
          <w:ilvl w:val="0"/>
          <w:numId w:val="2"/>
        </w:numPr>
        <w:spacing w:after="40" w:before="40"/>
      </w:pPr>
      <w:r>
        <w:rPr>
          <w:rFonts w:ascii="Arial" w:cs="Arial" w:eastAsia="Arial" w:hAnsi="Arial"/>
          <w:sz w:val="22"/>
          <w:szCs w:val="22"/>
        </w:rPr>
        <w:t xml:space="preserve">Firearms are high-certainty weapon type for targeted attacks</w:t>
      </w:r>
    </w:p>
    <w:p>
      <w:pPr>
        <w:pStyle w:val="ListParagraph"/>
        <w:numPr>
          <w:ilvl w:val="0"/>
          <w:numId w:val="2"/>
        </w:numPr>
        <w:spacing w:after="40" w:before="40"/>
      </w:pPr>
      <w:r>
        <w:rPr>
          <w:rFonts w:ascii="Arial" w:cs="Arial" w:eastAsia="Arial" w:hAnsi="Arial"/>
          <w:sz w:val="22"/>
          <w:szCs w:val="22"/>
        </w:rPr>
        <w:t xml:space="preserve">Unclaimed attacks can indicate state or highly covert actors</w:t>
      </w:r>
    </w:p>
    <w:p>
      <w:pPr>
        <w:pStyle w:val="Heading2"/>
        <w:spacing w:after="120" w:before="240"/>
      </w:pPr>
      <w:r>
        <w:rPr>
          <w:rFonts w:ascii="Arial" w:cs="Arial" w:eastAsia="Arial" w:hAnsi="Arial"/>
          <w:b/>
          <w:bCs/>
          <w:color w:val="2E5090"/>
          <w:sz w:val="26"/>
          <w:szCs w:val="26"/>
        </w:rPr>
        <w:t xml:space="preserve">Sensitivity Note</w:t>
      </w:r>
    </w:p>
    <w:p>
      <w:pPr>
        <w:spacing w:after="60" w:before="60"/>
      </w:pPr>
      <w:r>
        <w:rPr>
          <w:rFonts w:ascii="Arial" w:cs="Arial" w:eastAsia="Arial" w:hAnsi="Arial"/>
          <w:sz w:val="22"/>
          <w:szCs w:val="22"/>
        </w:rPr>
        <w:t xml:space="preserve">Year shift to post-2014 reduces probability by ~1.5 pp (model sees a post-peak trend). Switching to international component increases probability ~3 pp.</w:t>
      </w:r>
    </w:p>
    <w:p>
      <w:pPr>
        <w:pStyle w:val="Heading2"/>
        <w:spacing w:after="120" w:before="240"/>
      </w:pPr>
      <w:r>
        <w:rPr>
          <w:rFonts w:ascii="Arial" w:cs="Arial" w:eastAsia="Arial" w:hAnsi="Arial"/>
          <w:b/>
          <w:bCs/>
          <w:color w:val="2E5090"/>
          <w:sz w:val="26"/>
          <w:szCs w:val="26"/>
        </w:rPr>
        <w:t xml:space="preserve">Narrative</w:t>
      </w:r>
    </w:p>
    <w:p>
      <w:pPr>
        <w:spacing w:after="60" w:before="60"/>
      </w:pPr>
      <w:r>
        <w:rPr>
          <w:rFonts w:ascii="Arial" w:cs="Arial" w:eastAsia="Arial" w:hAnsi="Arial"/>
          <w:sz w:val="22"/>
          <w:szCs w:val="22"/>
        </w:rPr>
        <w:t xml:space="preserve">Targeted assassinations against private citizens — a pattern often indicating domestic political violence — score high in the GBM model due to the attack type's inherent execution efficiency. The extended incident flag suggests a planned, sustained operation rather than opportunistic violence.</w:t>
      </w:r>
    </w:p>
    <w:p>
      <w:pPr>
        <w:pageBreakBefore/>
      </w:pPr>
      <w:r>
        <w:t xml:space="preserve"/>
      </w:r>
    </w:p>
    <w:p>
      <w:pPr>
        <w:pStyle w:val="Heading1"/>
        <w:spacing w:after="180" w:before="360"/>
      </w:pPr>
      <w:r>
        <w:rPr>
          <w:rFonts w:ascii="Arial" w:cs="Arial" w:eastAsia="Arial" w:hAnsi="Arial"/>
          <w:b/>
          <w:bCs/>
          <w:color w:val="1F3864"/>
          <w:sz w:val="32"/>
          <w:szCs w:val="32"/>
        </w:rPr>
        <w:t xml:space="preserve">CASE-003 — Facility Infrastructure Attack — Sub-Saharan Africa</w:t>
      </w:r>
    </w:p>
    <w:p>
      <w:pPr>
        <w:spacing w:after="120" w:before="60"/>
      </w:pPr>
      <w:r>
        <w:rPr>
          <w:rFonts w:ascii="Arial" w:cs="Arial" w:eastAsia="Arial" w:hAnsi="Arial"/>
          <w:b/>
          <w:bCs/>
          <w:color w:val="D4830A"/>
          <w:sz w:val="22"/>
          <w:szCs w:val="22"/>
        </w:rPr>
        <w:t xml:space="preserve">RISK LEVEL: High Risk</w:t>
      </w:r>
    </w:p>
    <w:p>
      <w:pPr>
        <w:pStyle w:val="Heading2"/>
        <w:spacing w:after="120" w:before="240"/>
      </w:pPr>
      <w:r>
        <w:rPr>
          <w:rFonts w:ascii="Arial" w:cs="Arial" w:eastAsia="Arial" w:hAnsi="Arial"/>
          <w:b/>
          <w:bCs/>
          <w:color w:val="2E5090"/>
          <w:sz w:val="26"/>
          <w:szCs w:val="26"/>
        </w:rPr>
        <w:t xml:space="preserve">Input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Year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Attack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Facility / Infrastructure Attack</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Target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Weapon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Incendiary</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Region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Sub-Saharan Africa</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Suicide Operation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Extended Incident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International Component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Claimed Responsibility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0" w:before="100"/>
      </w:pPr>
      <w:r>
        <w:t xml:space="preserve"/>
      </w:r>
    </w:p>
    <w:p>
      <w:pPr>
        <w:pStyle w:val="Heading2"/>
        <w:spacing w:after="120" w:before="240"/>
      </w:pPr>
      <w:r>
        <w:rPr>
          <w:rFonts w:ascii="Arial" w:cs="Arial" w:eastAsia="Arial" w:hAnsi="Arial"/>
          <w:b/>
          <w:bCs/>
          <w:color w:val="2E5090"/>
          <w:sz w:val="26"/>
          <w:szCs w:val="26"/>
        </w:rPr>
        <w:t xml:space="preserve">Model Output</w:t>
      </w:r>
    </w:p>
    <w:p>
      <w:pPr>
        <w:spacing w:after="60" w:before="60"/>
      </w:pPr>
      <w:r>
        <w:rPr>
          <w:rFonts w:ascii="Arial" w:cs="Arial" w:eastAsia="Arial" w:hAnsi="Arial"/>
          <w:b/>
          <w:bCs/>
          <w:sz w:val="22"/>
          <w:szCs w:val="22"/>
        </w:rPr>
        <w:t xml:space="preserve">Predicted Probability: </w:t>
      </w:r>
      <w:r>
        <w:rPr>
          <w:rFonts w:ascii="Arial" w:cs="Arial" w:eastAsia="Arial" w:hAnsi="Arial"/>
          <w:sz w:val="22"/>
          <w:szCs w:val="22"/>
        </w:rPr>
        <w:t xml:space="preserve">~74–80% predicted probability of attack success</w:t>
      </w:r>
    </w:p>
    <w:p>
      <w:pPr>
        <w:pStyle w:val="Heading2"/>
        <w:spacing w:after="120" w:before="240"/>
      </w:pPr>
      <w:r>
        <w:rPr>
          <w:rFonts w:ascii="Arial" w:cs="Arial" w:eastAsia="Arial" w:hAnsi="Arial"/>
          <w:b/>
          <w:bCs/>
          <w:color w:val="2E5090"/>
          <w:sz w:val="26"/>
          <w:szCs w:val="26"/>
        </w:rPr>
        <w:t xml:space="preserve">Primary Driver Factors</w:t>
      </w:r>
    </w:p>
    <w:p>
      <w:pPr>
        <w:pStyle w:val="ListParagraph"/>
        <w:numPr>
          <w:ilvl w:val="0"/>
          <w:numId w:val="2"/>
        </w:numPr>
        <w:spacing w:after="40" w:before="40"/>
      </w:pPr>
      <w:r>
        <w:rPr>
          <w:rFonts w:ascii="Arial" w:cs="Arial" w:eastAsia="Arial" w:hAnsi="Arial"/>
          <w:sz w:val="22"/>
          <w:szCs w:val="22"/>
        </w:rPr>
        <w:t xml:space="preserve">Facility attacks have a very high base success rate (0.971 — highest in the model)</w:t>
      </w:r>
    </w:p>
    <w:p>
      <w:pPr>
        <w:pStyle w:val="ListParagraph"/>
        <w:numPr>
          <w:ilvl w:val="0"/>
          <w:numId w:val="2"/>
        </w:numPr>
        <w:spacing w:after="40" w:before="40"/>
      </w:pPr>
      <w:r>
        <w:rPr>
          <w:rFonts w:ascii="Arial" w:cs="Arial" w:eastAsia="Arial" w:hAnsi="Arial"/>
          <w:sz w:val="22"/>
          <w:szCs w:val="22"/>
        </w:rPr>
        <w:t xml:space="preserve">Incendiary weapons are highly effective against static infrastructure targets</w:t>
      </w:r>
    </w:p>
    <w:p>
      <w:pPr>
        <w:pStyle w:val="ListParagraph"/>
        <w:numPr>
          <w:ilvl w:val="0"/>
          <w:numId w:val="2"/>
        </w:numPr>
        <w:spacing w:after="40" w:before="40"/>
      </w:pPr>
      <w:r>
        <w:rPr>
          <w:rFonts w:ascii="Arial" w:cs="Arial" w:eastAsia="Arial" w:hAnsi="Arial"/>
          <w:sz w:val="22"/>
          <w:szCs w:val="22"/>
        </w:rPr>
        <w:t xml:space="preserve">Sub-Saharan Africa region modifier is elevated (+0.08)</w:t>
      </w:r>
    </w:p>
    <w:p>
      <w:pPr>
        <w:pStyle w:val="ListParagraph"/>
        <w:numPr>
          <w:ilvl w:val="0"/>
          <w:numId w:val="2"/>
        </w:numPr>
        <w:spacing w:after="40" w:before="40"/>
      </w:pPr>
      <w:r>
        <w:rPr>
          <w:rFonts w:ascii="Arial" w:cs="Arial" w:eastAsia="Arial" w:hAnsi="Arial"/>
          <w:sz w:val="22"/>
          <w:szCs w:val="22"/>
        </w:rPr>
        <w:t xml:space="preserve">Business targets have lower security hardening than military/government</w:t>
      </w:r>
    </w:p>
    <w:p>
      <w:pPr>
        <w:pStyle w:val="ListParagraph"/>
        <w:numPr>
          <w:ilvl w:val="0"/>
          <w:numId w:val="2"/>
        </w:numPr>
        <w:spacing w:after="40" w:before="40"/>
      </w:pPr>
      <w:r>
        <w:rPr>
          <w:rFonts w:ascii="Arial" w:cs="Arial" w:eastAsia="Arial" w:hAnsi="Arial"/>
          <w:sz w:val="22"/>
          <w:szCs w:val="22"/>
        </w:rPr>
        <w:t xml:space="preserve">Claimed responsibility indicates accountability and group cohesion</w:t>
      </w:r>
    </w:p>
    <w:p>
      <w:pPr>
        <w:pStyle w:val="Heading2"/>
        <w:spacing w:after="120" w:before="240"/>
      </w:pPr>
      <w:r>
        <w:rPr>
          <w:rFonts w:ascii="Arial" w:cs="Arial" w:eastAsia="Arial" w:hAnsi="Arial"/>
          <w:b/>
          <w:bCs/>
          <w:color w:val="2E5090"/>
          <w:sz w:val="26"/>
          <w:szCs w:val="26"/>
        </w:rPr>
        <w:t xml:space="preserve">Sensitivity Note</w:t>
      </w:r>
    </w:p>
    <w:p>
      <w:pPr>
        <w:spacing w:after="60" w:before="60"/>
      </w:pPr>
      <w:r>
        <w:rPr>
          <w:rFonts w:ascii="Arial" w:cs="Arial" w:eastAsia="Arial" w:hAnsi="Arial"/>
          <w:sz w:val="22"/>
          <w:szCs w:val="22"/>
        </w:rPr>
        <w:t xml:space="preserve">Switching target type to military drops probability by ~12 pp due to higher target hardening. Year moving to 1990 baseline increases probability ~3 pp.</w:t>
      </w:r>
    </w:p>
    <w:p>
      <w:pPr>
        <w:pStyle w:val="Heading2"/>
        <w:spacing w:after="120" w:before="240"/>
      </w:pPr>
      <w:r>
        <w:rPr>
          <w:rFonts w:ascii="Arial" w:cs="Arial" w:eastAsia="Arial" w:hAnsi="Arial"/>
          <w:b/>
          <w:bCs/>
          <w:color w:val="2E5090"/>
          <w:sz w:val="26"/>
          <w:szCs w:val="26"/>
        </w:rPr>
        <w:t xml:space="preserve">Narrative</w:t>
      </w:r>
    </w:p>
    <w:p>
      <w:pPr>
        <w:spacing w:after="60" w:before="60"/>
      </w:pPr>
      <w:r>
        <w:rPr>
          <w:rFonts w:ascii="Arial" w:cs="Arial" w:eastAsia="Arial" w:hAnsi="Arial"/>
          <w:sz w:val="22"/>
          <w:szCs w:val="22"/>
        </w:rPr>
        <w:t xml:space="preserve">Infrastructure attacks are among the hardest to prevent because they require minimal sophistication — an incendiary device against a business asset in a region with limited emergency response capacity has near-certain physical effect. The GBM model reflects this with the highest base multiplier for this attack class.</w:t>
      </w:r>
    </w:p>
    <w:p>
      <w:pPr>
        <w:pageBreakBefore/>
      </w:pPr>
      <w:r>
        <w:t xml:space="preserve"/>
      </w:r>
    </w:p>
    <w:p>
      <w:pPr>
        <w:pStyle w:val="Heading1"/>
        <w:spacing w:after="180" w:before="360"/>
      </w:pPr>
      <w:r>
        <w:rPr>
          <w:rFonts w:ascii="Arial" w:cs="Arial" w:eastAsia="Arial" w:hAnsi="Arial"/>
          <w:b/>
          <w:bCs/>
          <w:color w:val="1F3864"/>
          <w:sz w:val="32"/>
          <w:szCs w:val="32"/>
        </w:rPr>
        <w:t xml:space="preserve">CASE-004 — Hostage-Taking — Western Europe, International Dimension</w:t>
      </w:r>
    </w:p>
    <w:p>
      <w:pPr>
        <w:spacing w:after="120" w:before="60"/>
      </w:pPr>
      <w:r>
        <w:rPr>
          <w:rFonts w:ascii="Arial" w:cs="Arial" w:eastAsia="Arial" w:hAnsi="Arial"/>
          <w:b/>
          <w:bCs/>
          <w:color w:val="E67E22"/>
          <w:sz w:val="22"/>
          <w:szCs w:val="22"/>
        </w:rPr>
        <w:t xml:space="preserve">RISK LEVEL: Moderate-High Risk</w:t>
      </w:r>
    </w:p>
    <w:p>
      <w:pPr>
        <w:pStyle w:val="Heading2"/>
        <w:spacing w:after="120" w:before="240"/>
      </w:pPr>
      <w:r>
        <w:rPr>
          <w:rFonts w:ascii="Arial" w:cs="Arial" w:eastAsia="Arial" w:hAnsi="Arial"/>
          <w:b/>
          <w:bCs/>
          <w:color w:val="2E5090"/>
          <w:sz w:val="26"/>
          <w:szCs w:val="26"/>
        </w:rPr>
        <w:t xml:space="preserve">Input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Year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Attack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Hostage Taking (Kidnapping)</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Target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Journalists &amp; Media</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Weapon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Unknown</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Region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Western Europe</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Suicide Operation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Extended Incident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International Component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Claimed Responsibility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0" w:before="100"/>
      </w:pPr>
      <w:r>
        <w:t xml:space="preserve"/>
      </w:r>
    </w:p>
    <w:p>
      <w:pPr>
        <w:pStyle w:val="Heading2"/>
        <w:spacing w:after="120" w:before="240"/>
      </w:pPr>
      <w:r>
        <w:rPr>
          <w:rFonts w:ascii="Arial" w:cs="Arial" w:eastAsia="Arial" w:hAnsi="Arial"/>
          <w:b/>
          <w:bCs/>
          <w:color w:val="2E5090"/>
          <w:sz w:val="26"/>
          <w:szCs w:val="26"/>
        </w:rPr>
        <w:t xml:space="preserve">Model Output</w:t>
      </w:r>
    </w:p>
    <w:p>
      <w:pPr>
        <w:spacing w:after="60" w:before="60"/>
      </w:pPr>
      <w:r>
        <w:rPr>
          <w:rFonts w:ascii="Arial" w:cs="Arial" w:eastAsia="Arial" w:hAnsi="Arial"/>
          <w:b/>
          <w:bCs/>
          <w:sz w:val="22"/>
          <w:szCs w:val="22"/>
        </w:rPr>
        <w:t xml:space="preserve">Predicted Probability: </w:t>
      </w:r>
      <w:r>
        <w:rPr>
          <w:rFonts w:ascii="Arial" w:cs="Arial" w:eastAsia="Arial" w:hAnsi="Arial"/>
          <w:sz w:val="22"/>
          <w:szCs w:val="22"/>
        </w:rPr>
        <w:t xml:space="preserve">~62–68% predicted probability of attack success</w:t>
      </w:r>
    </w:p>
    <w:p>
      <w:pPr>
        <w:pStyle w:val="Heading2"/>
        <w:spacing w:after="120" w:before="240"/>
      </w:pPr>
      <w:r>
        <w:rPr>
          <w:rFonts w:ascii="Arial" w:cs="Arial" w:eastAsia="Arial" w:hAnsi="Arial"/>
          <w:b/>
          <w:bCs/>
          <w:color w:val="2E5090"/>
          <w:sz w:val="26"/>
          <w:szCs w:val="26"/>
        </w:rPr>
        <w:t xml:space="preserve">Primary Driver Factors</w:t>
      </w:r>
    </w:p>
    <w:p>
      <w:pPr>
        <w:pStyle w:val="ListParagraph"/>
        <w:numPr>
          <w:ilvl w:val="0"/>
          <w:numId w:val="2"/>
        </w:numPr>
        <w:spacing w:after="40" w:before="40"/>
      </w:pPr>
      <w:r>
        <w:rPr>
          <w:rFonts w:ascii="Arial" w:cs="Arial" w:eastAsia="Arial" w:hAnsi="Arial"/>
          <w:sz w:val="22"/>
          <w:szCs w:val="22"/>
        </w:rPr>
        <w:t xml:space="preserve">Hostage taking has a moderately high base success rate (0.912)</w:t>
      </w:r>
    </w:p>
    <w:p>
      <w:pPr>
        <w:pStyle w:val="ListParagraph"/>
        <w:numPr>
          <w:ilvl w:val="0"/>
          <w:numId w:val="2"/>
        </w:numPr>
        <w:spacing w:after="40" w:before="40"/>
      </w:pPr>
      <w:r>
        <w:rPr>
          <w:rFonts w:ascii="Arial" w:cs="Arial" w:eastAsia="Arial" w:hAnsi="Arial"/>
          <w:sz w:val="22"/>
          <w:szCs w:val="22"/>
        </w:rPr>
        <w:t xml:space="preserve">Western Europe has a lower base regional modifier than MENA/South Asia, partially offsetting</w:t>
      </w:r>
    </w:p>
    <w:p>
      <w:pPr>
        <w:pStyle w:val="ListParagraph"/>
        <w:numPr>
          <w:ilvl w:val="0"/>
          <w:numId w:val="2"/>
        </w:numPr>
        <w:spacing w:after="40" w:before="40"/>
      </w:pPr>
      <w:r>
        <w:rPr>
          <w:rFonts w:ascii="Arial" w:cs="Arial" w:eastAsia="Arial" w:hAnsi="Arial"/>
          <w:sz w:val="22"/>
          <w:szCs w:val="22"/>
        </w:rPr>
        <w:t xml:space="preserve">Extended incident and international component both add positive lift</w:t>
      </w:r>
    </w:p>
    <w:p>
      <w:pPr>
        <w:pStyle w:val="ListParagraph"/>
        <w:numPr>
          <w:ilvl w:val="0"/>
          <w:numId w:val="2"/>
        </w:numPr>
        <w:spacing w:after="40" w:before="40"/>
      </w:pPr>
      <w:r>
        <w:rPr>
          <w:rFonts w:ascii="Arial" w:cs="Arial" w:eastAsia="Arial" w:hAnsi="Arial"/>
          <w:sz w:val="22"/>
          <w:szCs w:val="22"/>
        </w:rPr>
        <w:t xml:space="preserve">Journalists / media targets signal an information warfare component</w:t>
      </w:r>
    </w:p>
    <w:p>
      <w:pPr>
        <w:pStyle w:val="ListParagraph"/>
        <w:numPr>
          <w:ilvl w:val="0"/>
          <w:numId w:val="2"/>
        </w:numPr>
        <w:spacing w:after="40" w:before="40"/>
      </w:pPr>
      <w:r>
        <w:rPr>
          <w:rFonts w:ascii="Arial" w:cs="Arial" w:eastAsia="Arial" w:hAnsi="Arial"/>
          <w:sz w:val="22"/>
          <w:szCs w:val="22"/>
        </w:rPr>
        <w:t xml:space="preserve">Unknown weapon type reduces model confidence, applying a slight penalty</w:t>
      </w:r>
    </w:p>
    <w:p>
      <w:pPr>
        <w:pStyle w:val="Heading2"/>
        <w:spacing w:after="120" w:before="240"/>
      </w:pPr>
      <w:r>
        <w:rPr>
          <w:rFonts w:ascii="Arial" w:cs="Arial" w:eastAsia="Arial" w:hAnsi="Arial"/>
          <w:b/>
          <w:bCs/>
          <w:color w:val="2E5090"/>
          <w:sz w:val="26"/>
          <w:szCs w:val="26"/>
        </w:rPr>
        <w:t xml:space="preserve">Sensitivity Note</w:t>
      </w:r>
    </w:p>
    <w:p>
      <w:pPr>
        <w:spacing w:after="60" w:before="60"/>
      </w:pPr>
      <w:r>
        <w:rPr>
          <w:rFonts w:ascii="Arial" w:cs="Arial" w:eastAsia="Arial" w:hAnsi="Arial"/>
          <w:sz w:val="22"/>
          <w:szCs w:val="22"/>
        </w:rPr>
        <w:t xml:space="preserve">Removing extended incident flag drops probability ~6 pp. Pre-2001 year setting increases probability by ~3 pp (model detects post-9/11 surveillance uplift in Europe).</w:t>
      </w:r>
    </w:p>
    <w:p>
      <w:pPr>
        <w:pStyle w:val="Heading2"/>
        <w:spacing w:after="120" w:before="240"/>
      </w:pPr>
      <w:r>
        <w:rPr>
          <w:rFonts w:ascii="Arial" w:cs="Arial" w:eastAsia="Arial" w:hAnsi="Arial"/>
          <w:b/>
          <w:bCs/>
          <w:color w:val="2E5090"/>
          <w:sz w:val="26"/>
          <w:szCs w:val="26"/>
        </w:rPr>
        <w:t xml:space="preserve">Narrative</w:t>
      </w:r>
    </w:p>
    <w:p>
      <w:pPr>
        <w:spacing w:after="60" w:before="60"/>
      </w:pPr>
      <w:r>
        <w:rPr>
          <w:rFonts w:ascii="Arial" w:cs="Arial" w:eastAsia="Arial" w:hAnsi="Arial"/>
          <w:sz w:val="22"/>
          <w:szCs w:val="22"/>
        </w:rPr>
        <w:t xml:space="preserve">European hostage scenarios involving media targets and international actors represent a distinct threat cluster — often motivated by publicity rather than pure destruction. The model scores these moderately high due to the historical execution success of kidnapping operations, tempered by the higher security baseline in Western Europe.</w:t>
      </w:r>
    </w:p>
    <w:p>
      <w:pPr>
        <w:pageBreakBefore/>
      </w:pPr>
      <w:r>
        <w:t xml:space="preserve"/>
      </w:r>
    </w:p>
    <w:p>
      <w:pPr>
        <w:pStyle w:val="Heading1"/>
        <w:spacing w:after="180" w:before="360"/>
      </w:pPr>
      <w:r>
        <w:rPr>
          <w:rFonts w:ascii="Arial" w:cs="Arial" w:eastAsia="Arial" w:hAnsi="Arial"/>
          <w:b/>
          <w:bCs/>
          <w:color w:val="1F3864"/>
          <w:sz w:val="32"/>
          <w:szCs w:val="32"/>
        </w:rPr>
        <w:t xml:space="preserve">CASE-005 — Low-Risk Baseline — Domestic, Unknown Weapon, Unclaimed</w:t>
      </w:r>
    </w:p>
    <w:p>
      <w:pPr>
        <w:spacing w:after="120" w:before="60"/>
      </w:pPr>
      <w:r>
        <w:rPr>
          <w:rFonts w:ascii="Arial" w:cs="Arial" w:eastAsia="Arial" w:hAnsi="Arial"/>
          <w:b/>
          <w:bCs/>
          <w:color w:val="27AE60"/>
          <w:sz w:val="22"/>
          <w:szCs w:val="22"/>
        </w:rPr>
        <w:t xml:space="preserve">RISK LEVEL: Low Risk</w:t>
      </w:r>
    </w:p>
    <w:p>
      <w:pPr>
        <w:pStyle w:val="Heading2"/>
        <w:spacing w:after="120" w:before="240"/>
      </w:pPr>
      <w:r>
        <w:rPr>
          <w:rFonts w:ascii="Arial" w:cs="Arial" w:eastAsia="Arial" w:hAnsi="Arial"/>
          <w:b/>
          <w:bCs/>
          <w:color w:val="2E5090"/>
          <w:sz w:val="26"/>
          <w:szCs w:val="26"/>
        </w:rPr>
        <w:t xml:space="preserve">Input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Year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1990</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Attack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Unknown</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Target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Citizens &amp; Property</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Weapon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Unknown</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Region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America</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Suicide Operation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Extended Incident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International Component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1F3864"/>
                <w:sz w:val="20"/>
                <w:szCs w:val="20"/>
              </w:rPr>
              <w:t xml:space="preserve">Claimed Responsibility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Pr>
        <w:spacing w:after="0" w:before="100"/>
      </w:pPr>
      <w:r>
        <w:t xml:space="preserve"/>
      </w:r>
    </w:p>
    <w:p>
      <w:pPr>
        <w:pStyle w:val="Heading2"/>
        <w:spacing w:after="120" w:before="240"/>
      </w:pPr>
      <w:r>
        <w:rPr>
          <w:rFonts w:ascii="Arial" w:cs="Arial" w:eastAsia="Arial" w:hAnsi="Arial"/>
          <w:b/>
          <w:bCs/>
          <w:color w:val="2E5090"/>
          <w:sz w:val="26"/>
          <w:szCs w:val="26"/>
        </w:rPr>
        <w:t xml:space="preserve">Model Output</w:t>
      </w:r>
    </w:p>
    <w:p>
      <w:pPr>
        <w:spacing w:after="60" w:before="60"/>
      </w:pPr>
      <w:r>
        <w:rPr>
          <w:rFonts w:ascii="Arial" w:cs="Arial" w:eastAsia="Arial" w:hAnsi="Arial"/>
          <w:b/>
          <w:bCs/>
          <w:sz w:val="22"/>
          <w:szCs w:val="22"/>
        </w:rPr>
        <w:t xml:space="preserve">Predicted Probability: </w:t>
      </w:r>
      <w:r>
        <w:rPr>
          <w:rFonts w:ascii="Arial" w:cs="Arial" w:eastAsia="Arial" w:hAnsi="Arial"/>
          <w:sz w:val="22"/>
          <w:szCs w:val="22"/>
        </w:rPr>
        <w:t xml:space="preserve">~32–40% predicted probability of attack success</w:t>
      </w:r>
    </w:p>
    <w:p>
      <w:pPr>
        <w:pStyle w:val="Heading2"/>
        <w:spacing w:after="120" w:before="240"/>
      </w:pPr>
      <w:r>
        <w:rPr>
          <w:rFonts w:ascii="Arial" w:cs="Arial" w:eastAsia="Arial" w:hAnsi="Arial"/>
          <w:b/>
          <w:bCs/>
          <w:color w:val="2E5090"/>
          <w:sz w:val="26"/>
          <w:szCs w:val="26"/>
        </w:rPr>
        <w:t xml:space="preserve">Primary Driver Factors</w:t>
      </w:r>
    </w:p>
    <w:p>
      <w:pPr>
        <w:pStyle w:val="ListParagraph"/>
        <w:numPr>
          <w:ilvl w:val="0"/>
          <w:numId w:val="2"/>
        </w:numPr>
        <w:spacing w:after="40" w:before="40"/>
      </w:pPr>
      <w:r>
        <w:rPr>
          <w:rFonts w:ascii="Arial" w:cs="Arial" w:eastAsia="Arial" w:hAnsi="Arial"/>
          <w:sz w:val="22"/>
          <w:szCs w:val="22"/>
        </w:rPr>
        <w:t xml:space="preserve">Unknown attack type applies minimum base multiplier (0.821)</w:t>
      </w:r>
    </w:p>
    <w:p>
      <w:pPr>
        <w:pStyle w:val="ListParagraph"/>
        <w:numPr>
          <w:ilvl w:val="0"/>
          <w:numId w:val="2"/>
        </w:numPr>
        <w:spacing w:after="40" w:before="40"/>
      </w:pPr>
      <w:r>
        <w:rPr>
          <w:rFonts w:ascii="Arial" w:cs="Arial" w:eastAsia="Arial" w:hAnsi="Arial"/>
          <w:sz w:val="22"/>
          <w:szCs w:val="22"/>
        </w:rPr>
        <w:t xml:space="preserve">North America has the lowest regional modifier (near baseline)</w:t>
      </w:r>
    </w:p>
    <w:p>
      <w:pPr>
        <w:pStyle w:val="ListParagraph"/>
        <w:numPr>
          <w:ilvl w:val="0"/>
          <w:numId w:val="2"/>
        </w:numPr>
        <w:spacing w:after="40" w:before="40"/>
      </w:pPr>
      <w:r>
        <w:rPr>
          <w:rFonts w:ascii="Arial" w:cs="Arial" w:eastAsia="Arial" w:hAnsi="Arial"/>
          <w:sz w:val="22"/>
          <w:szCs w:val="22"/>
        </w:rPr>
        <w:t xml:space="preserve">No suicide, no international component, no extended incident — all reduce probability</w:t>
      </w:r>
    </w:p>
    <w:p>
      <w:pPr>
        <w:pStyle w:val="ListParagraph"/>
        <w:numPr>
          <w:ilvl w:val="0"/>
          <w:numId w:val="2"/>
        </w:numPr>
        <w:spacing w:after="40" w:before="40"/>
      </w:pPr>
      <w:r>
        <w:rPr>
          <w:rFonts w:ascii="Arial" w:cs="Arial" w:eastAsia="Arial" w:hAnsi="Arial"/>
          <w:sz w:val="22"/>
          <w:szCs w:val="22"/>
        </w:rPr>
        <w:t xml:space="preserve">Early year (1990) is near the temporal baseline in the model</w:t>
      </w:r>
    </w:p>
    <w:p>
      <w:pPr>
        <w:pStyle w:val="ListParagraph"/>
        <w:numPr>
          <w:ilvl w:val="0"/>
          <w:numId w:val="2"/>
        </w:numPr>
        <w:spacing w:after="40" w:before="40"/>
      </w:pPr>
      <w:r>
        <w:rPr>
          <w:rFonts w:ascii="Arial" w:cs="Arial" w:eastAsia="Arial" w:hAnsi="Arial"/>
          <w:sz w:val="22"/>
          <w:szCs w:val="22"/>
        </w:rPr>
        <w:t xml:space="preserve">Unclaimed, unknown-weapon incidents historically have lower execution rates</w:t>
      </w:r>
    </w:p>
    <w:p>
      <w:pPr>
        <w:pStyle w:val="Heading2"/>
        <w:spacing w:after="120" w:before="240"/>
      </w:pPr>
      <w:r>
        <w:rPr>
          <w:rFonts w:ascii="Arial" w:cs="Arial" w:eastAsia="Arial" w:hAnsi="Arial"/>
          <w:b/>
          <w:bCs/>
          <w:color w:val="2E5090"/>
          <w:sz w:val="26"/>
          <w:szCs w:val="26"/>
        </w:rPr>
        <w:t xml:space="preserve">Sensitivity Note</w:t>
      </w:r>
    </w:p>
    <w:p>
      <w:pPr>
        <w:spacing w:after="60" w:before="60"/>
      </w:pPr>
      <w:r>
        <w:rPr>
          <w:rFonts w:ascii="Arial" w:cs="Arial" w:eastAsia="Arial" w:hAnsi="Arial"/>
          <w:sz w:val="22"/>
          <w:szCs w:val="22"/>
        </w:rPr>
        <w:t xml:space="preserve">Adding suicide operation to this baseline configuration increases probability by ~18 pp — the single largest lever in the model. Adding MENA region adds ~9 pp.</w:t>
      </w:r>
    </w:p>
    <w:p>
      <w:pPr>
        <w:pStyle w:val="Heading2"/>
        <w:spacing w:after="120" w:before="240"/>
      </w:pPr>
      <w:r>
        <w:rPr>
          <w:rFonts w:ascii="Arial" w:cs="Arial" w:eastAsia="Arial" w:hAnsi="Arial"/>
          <w:b/>
          <w:bCs/>
          <w:color w:val="2E5090"/>
          <w:sz w:val="26"/>
          <w:szCs w:val="26"/>
        </w:rPr>
        <w:t xml:space="preserve">Narrative</w:t>
      </w:r>
    </w:p>
    <w:p>
      <w:pPr>
        <w:spacing w:after="60" w:before="60"/>
      </w:pPr>
      <w:r>
        <w:rPr>
          <w:rFonts w:ascii="Arial" w:cs="Arial" w:eastAsia="Arial" w:hAnsi="Arial"/>
          <w:sz w:val="22"/>
          <w:szCs w:val="22"/>
        </w:rPr>
        <w:t xml:space="preserve">This case serves as a calibration baseline — the lowest-scoring configuration across the model's feature space. Comparing this against high-risk cases illustrates the true driver structure: region, suicide flag, and attack type together account for the majority of the model's discriminative power.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2026-04-30T12:39:25.479Z</dcterms:created>
  <dcterms:modified xsi:type="dcterms:W3CDTF">2026-04-30T12:39:25.481Z</dcterms:modified>
</cp:coreProperties>
</file>

<file path=docProps/custom.xml><?xml version="1.0" encoding="utf-8"?>
<Properties xmlns="http://schemas.openxmlformats.org/officeDocument/2006/custom-properties" xmlns:vt="http://schemas.openxmlformats.org/officeDocument/2006/docPropsVTypes"/>
</file>