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5B54" w14:textId="77777777" w:rsidR="0080606D" w:rsidRDefault="00000000">
      <w:pPr>
        <w:pStyle w:val="Heading1"/>
      </w:pPr>
      <w:r>
        <w:t xml:space="preserve">Table 1: </w:t>
      </w:r>
      <w:proofErr w:type="spellStart"/>
      <w:r>
        <w:t>DarkPulse</w:t>
      </w:r>
      <w:proofErr w:type="spellEnd"/>
      <w:r>
        <w:t xml:space="preserve"> — </w:t>
      </w:r>
      <w:proofErr w:type="spellStart"/>
      <w:r>
        <w:t>CatBoost</w:t>
      </w:r>
      <w:proofErr w:type="spellEnd"/>
      <w:r>
        <w:t xml:space="preserve"> Predictive Model Case Studies</w:t>
      </w:r>
    </w:p>
    <w:p w14:paraId="71E66FEB" w14:textId="77777777" w:rsidR="0080606D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 xml:space="preserve">Dataset: GTD 209,706 Incidents | 140 Countries | 1996–2025 | Model: </w:t>
      </w:r>
      <w:proofErr w:type="spellStart"/>
      <w:r>
        <w:rPr>
          <w:i/>
          <w:iCs/>
          <w:color w:val="595959"/>
          <w:sz w:val="18"/>
          <w:szCs w:val="18"/>
        </w:rPr>
        <w:t>CatBoost</w:t>
      </w:r>
      <w:proofErr w:type="spellEnd"/>
      <w:r>
        <w:rPr>
          <w:i/>
          <w:iCs/>
          <w:color w:val="595959"/>
          <w:sz w:val="18"/>
          <w:szCs w:val="18"/>
        </w:rPr>
        <w:t xml:space="preserve"> Gradient Boosting | Features: WGI Governance Indicators + Temporal Lag Variables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134"/>
        <w:gridCol w:w="1198"/>
        <w:gridCol w:w="1920"/>
        <w:gridCol w:w="1560"/>
        <w:gridCol w:w="1417"/>
        <w:gridCol w:w="2552"/>
      </w:tblGrid>
      <w:tr w:rsidR="00D778DF" w14:paraId="0BA5F1E2" w14:textId="77777777" w:rsidTr="00D778DF">
        <w:trPr>
          <w:tblHeader/>
        </w:trPr>
        <w:tc>
          <w:tcPr>
            <w:tcW w:w="846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0725F" w14:textId="77777777" w:rsidR="00D778DF" w:rsidRDefault="00D778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1134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084D8" w14:textId="77777777" w:rsidR="00D778DF" w:rsidRDefault="00D778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198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5469C" w14:textId="77777777" w:rsidR="00D778DF" w:rsidRDefault="00D778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Analysis Period</w:t>
            </w:r>
          </w:p>
        </w:tc>
        <w:tc>
          <w:tcPr>
            <w:tcW w:w="1920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29721" w14:textId="77777777" w:rsidR="00D778DF" w:rsidRDefault="00D778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GTD Statistics</w:t>
            </w:r>
          </w:p>
        </w:tc>
        <w:tc>
          <w:tcPr>
            <w:tcW w:w="1560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C9943" w14:textId="77777777" w:rsidR="00D778DF" w:rsidRDefault="00D778D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CatBoost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Forecast</w:t>
            </w:r>
          </w:p>
        </w:tc>
        <w:tc>
          <w:tcPr>
            <w:tcW w:w="1417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12F31" w14:textId="77777777" w:rsidR="00D778DF" w:rsidRDefault="00D778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Accuracy</w:t>
            </w:r>
          </w:p>
        </w:tc>
        <w:tc>
          <w:tcPr>
            <w:tcW w:w="2552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C48E9" w14:textId="77777777" w:rsidR="00D778DF" w:rsidRDefault="00D778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</w:tr>
      <w:tr w:rsidR="00D778DF" w14:paraId="193927E8" w14:textId="77777777" w:rsidTr="00D778DF"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D1967" w14:textId="77777777" w:rsidR="00D778DF" w:rsidRDefault="00D778DF">
            <w:r>
              <w:rPr>
                <w:b/>
                <w:bCs/>
                <w:color w:val="1F4E79"/>
                <w:sz w:val="18"/>
                <w:szCs w:val="18"/>
              </w:rPr>
              <w:t>Case 1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48E5C" w14:textId="77777777" w:rsidR="00D778DF" w:rsidRDefault="00D778DF">
            <w:r>
              <w:rPr>
                <w:sz w:val="18"/>
                <w:szCs w:val="18"/>
              </w:rPr>
              <w:t>Iraq (IRQ)</w:t>
            </w:r>
          </w:p>
        </w:tc>
        <w:tc>
          <w:tcPr>
            <w:tcW w:w="11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648B2" w14:textId="77777777" w:rsidR="00D778DF" w:rsidRDefault="00D778DF">
            <w:r>
              <w:rPr>
                <w:sz w:val="18"/>
                <w:szCs w:val="18"/>
              </w:rPr>
              <w:t>2015–2020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FB65F" w14:textId="77777777" w:rsidR="00D778DF" w:rsidRDefault="00D778DF">
            <w:r>
              <w:rPr>
                <w:sz w:val="18"/>
                <w:szCs w:val="18"/>
              </w:rPr>
              <w:t>~3,200 (2015) → ~780 (2020)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42EF6" w14:textId="77777777" w:rsidR="00D778DF" w:rsidRDefault="00D778DF">
            <w:r>
              <w:rPr>
                <w:sz w:val="18"/>
                <w:szCs w:val="18"/>
              </w:rPr>
              <w:t>Declining — correctly forecast</w:t>
            </w:r>
          </w:p>
        </w:tc>
        <w:tc>
          <w:tcPr>
            <w:tcW w:w="14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0516A" w14:textId="77777777" w:rsidR="00D778DF" w:rsidRDefault="00D778DF">
            <w:r>
              <w:rPr>
                <w:sz w:val="18"/>
                <w:szCs w:val="18"/>
              </w:rPr>
              <w:t>Within 12% in 4 of 6 years</w:t>
            </w:r>
          </w:p>
        </w:tc>
        <w:tc>
          <w:tcPr>
            <w:tcW w:w="25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019C4" w14:textId="77777777" w:rsidR="00D778DF" w:rsidRDefault="00D778DF">
            <w:r>
              <w:rPr>
                <w:sz w:val="18"/>
                <w:szCs w:val="18"/>
              </w:rPr>
              <w:t>Sub-national heterogeneity (e.g. Sinjar) invisible to country-level WGI</w:t>
            </w:r>
          </w:p>
        </w:tc>
      </w:tr>
      <w:tr w:rsidR="00D778DF" w14:paraId="0F236A11" w14:textId="77777777" w:rsidTr="00D778DF"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CAF7F" w14:textId="77777777" w:rsidR="00D778DF" w:rsidRDefault="00D778DF">
            <w:r>
              <w:rPr>
                <w:b/>
                <w:bCs/>
                <w:color w:val="1F4E79"/>
                <w:sz w:val="18"/>
                <w:szCs w:val="18"/>
              </w:rPr>
              <w:t>Case 2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5682A" w14:textId="77777777" w:rsidR="00D778DF" w:rsidRDefault="00D778DF">
            <w:r>
              <w:rPr>
                <w:sz w:val="18"/>
                <w:szCs w:val="18"/>
              </w:rPr>
              <w:t>Pakistan (PAK)</w:t>
            </w:r>
          </w:p>
        </w:tc>
        <w:tc>
          <w:tcPr>
            <w:tcW w:w="11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9E29B" w14:textId="77777777" w:rsidR="00D778DF" w:rsidRDefault="00D778DF">
            <w:r>
              <w:rPr>
                <w:sz w:val="18"/>
                <w:szCs w:val="18"/>
              </w:rPr>
              <w:t>2000–2022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73BDB" w14:textId="77777777" w:rsidR="00D778DF" w:rsidRDefault="00D778DF">
            <w:r>
              <w:rPr>
                <w:sz w:val="18"/>
                <w:szCs w:val="18"/>
              </w:rPr>
              <w:t>~430 (2020) ↑ peak ~2,700 (2013)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041D0" w14:textId="77777777" w:rsidR="00D778DF" w:rsidRDefault="00D778DF">
            <w:r>
              <w:rPr>
                <w:sz w:val="18"/>
                <w:szCs w:val="18"/>
              </w:rPr>
              <w:t>Cyclical — peaks/troughs within bounds</w:t>
            </w:r>
          </w:p>
        </w:tc>
        <w:tc>
          <w:tcPr>
            <w:tcW w:w="14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E2773" w14:textId="77777777" w:rsidR="00D778DF" w:rsidRDefault="00D778DF">
            <w:r>
              <w:rPr>
                <w:sz w:val="18"/>
                <w:szCs w:val="18"/>
              </w:rPr>
              <w:t>+38% over-prediction in 2017 (post-operation lull)</w:t>
            </w:r>
          </w:p>
        </w:tc>
        <w:tc>
          <w:tcPr>
            <w:tcW w:w="25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C3A40" w14:textId="77777777" w:rsidR="00D778DF" w:rsidRDefault="00D778DF">
            <w:r>
              <w:rPr>
                <w:sz w:val="18"/>
                <w:szCs w:val="18"/>
              </w:rPr>
              <w:t>Military operational suppression not captured by governance indicators alone</w:t>
            </w:r>
          </w:p>
        </w:tc>
      </w:tr>
      <w:tr w:rsidR="00D778DF" w14:paraId="6009A202" w14:textId="77777777" w:rsidTr="00D778DF"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8C639" w14:textId="77777777" w:rsidR="00D778DF" w:rsidRDefault="00D778DF">
            <w:r>
              <w:rPr>
                <w:b/>
                <w:bCs/>
                <w:color w:val="1F4E79"/>
                <w:sz w:val="18"/>
                <w:szCs w:val="18"/>
              </w:rPr>
              <w:t>Case 3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94D73" w14:textId="77777777" w:rsidR="00D778DF" w:rsidRDefault="00D778DF">
            <w:r>
              <w:rPr>
                <w:sz w:val="18"/>
                <w:szCs w:val="18"/>
              </w:rPr>
              <w:t>France (FRA)</w:t>
            </w:r>
          </w:p>
        </w:tc>
        <w:tc>
          <w:tcPr>
            <w:tcW w:w="11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D1F54" w14:textId="77777777" w:rsidR="00D778DF" w:rsidRDefault="00D778DF">
            <w:r>
              <w:rPr>
                <w:sz w:val="18"/>
                <w:szCs w:val="18"/>
              </w:rPr>
              <w:t>2014–2019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7983B" w14:textId="77777777" w:rsidR="00D778DF" w:rsidRDefault="00D778DF">
            <w:r>
              <w:rPr>
                <w:sz w:val="18"/>
                <w:szCs w:val="18"/>
              </w:rPr>
              <w:t>Baseline ~6–12/yr; 37 in 2015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7EA8B" w14:textId="77777777" w:rsidR="00D778DF" w:rsidRDefault="00D778DF">
            <w:r>
              <w:rPr>
                <w:sz w:val="18"/>
                <w:szCs w:val="18"/>
              </w:rPr>
              <w:t>~9 incidents (significant under-prediction)</w:t>
            </w:r>
          </w:p>
        </w:tc>
        <w:tc>
          <w:tcPr>
            <w:tcW w:w="14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A6B0D" w14:textId="77777777" w:rsidR="00D778DF" w:rsidRDefault="00D778DF">
            <w:r>
              <w:rPr>
                <w:sz w:val="18"/>
                <w:szCs w:val="18"/>
              </w:rPr>
              <w:t>Forecast ~9 vs observed 37 (2015)</w:t>
            </w:r>
          </w:p>
        </w:tc>
        <w:tc>
          <w:tcPr>
            <w:tcW w:w="25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9AD48" w14:textId="77777777" w:rsidR="00D778DF" w:rsidRDefault="00D778DF">
            <w:r>
              <w:rPr>
                <w:sz w:val="18"/>
                <w:szCs w:val="18"/>
              </w:rPr>
              <w:t>Model cannot forecast ideologically-driven transnational attack campaigns</w:t>
            </w:r>
          </w:p>
        </w:tc>
      </w:tr>
      <w:tr w:rsidR="00D778DF" w14:paraId="64AE3DD6" w14:textId="77777777" w:rsidTr="00D778DF"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9147E" w14:textId="77777777" w:rsidR="00D778DF" w:rsidRDefault="00D778DF">
            <w:r>
              <w:rPr>
                <w:b/>
                <w:bCs/>
                <w:color w:val="1F4E79"/>
                <w:sz w:val="18"/>
                <w:szCs w:val="18"/>
              </w:rPr>
              <w:t>Case 4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429F2" w14:textId="77777777" w:rsidR="00D778DF" w:rsidRDefault="00D778DF">
            <w:r>
              <w:rPr>
                <w:sz w:val="18"/>
                <w:szCs w:val="18"/>
              </w:rPr>
              <w:t>Nigeria (NGA)</w:t>
            </w:r>
          </w:p>
        </w:tc>
        <w:tc>
          <w:tcPr>
            <w:tcW w:w="11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12A3" w14:textId="77777777" w:rsidR="00D778DF" w:rsidRDefault="00D778DF">
            <w:r>
              <w:rPr>
                <w:sz w:val="18"/>
                <w:szCs w:val="18"/>
              </w:rPr>
              <w:t>2010–2018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9DC5F" w14:textId="77777777" w:rsidR="00D778DF" w:rsidRDefault="00D778DF">
            <w:r>
              <w:rPr>
                <w:sz w:val="18"/>
                <w:szCs w:val="18"/>
              </w:rPr>
              <w:t>~80 (2010) → ~1,570 (2014)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7E43B" w14:textId="77777777" w:rsidR="00D778DF" w:rsidRDefault="00D778DF">
            <w:r>
              <w:rPr>
                <w:sz w:val="18"/>
                <w:szCs w:val="18"/>
              </w:rPr>
              <w:t>Escalation flagged 2 years early (2012)</w:t>
            </w:r>
          </w:p>
        </w:tc>
        <w:tc>
          <w:tcPr>
            <w:tcW w:w="14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E8F7E" w14:textId="77777777" w:rsidR="00D778DF" w:rsidRDefault="00D778DF">
            <w:r>
              <w:rPr>
                <w:sz w:val="18"/>
                <w:szCs w:val="18"/>
              </w:rPr>
              <w:t>Within 22% on 2013–2015; within 15% post-2016</w:t>
            </w:r>
          </w:p>
        </w:tc>
        <w:tc>
          <w:tcPr>
            <w:tcW w:w="25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3A5D8" w14:textId="77777777" w:rsidR="00D778DF" w:rsidRDefault="00D778DF">
            <w:r>
              <w:rPr>
                <w:sz w:val="18"/>
                <w:szCs w:val="18"/>
              </w:rPr>
              <w:t>Governance trajectory gives 2-year leading signal; strongest performing case</w:t>
            </w:r>
          </w:p>
        </w:tc>
      </w:tr>
      <w:tr w:rsidR="00D778DF" w14:paraId="11F50842" w14:textId="77777777" w:rsidTr="00D778DF"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72A04" w14:textId="77777777" w:rsidR="00D778DF" w:rsidRDefault="00D778DF">
            <w:r>
              <w:rPr>
                <w:b/>
                <w:bCs/>
                <w:color w:val="1F4E79"/>
                <w:sz w:val="18"/>
                <w:szCs w:val="18"/>
              </w:rPr>
              <w:t>Case 5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384D0" w14:textId="77777777" w:rsidR="00D778DF" w:rsidRDefault="00D778DF">
            <w:r>
              <w:rPr>
                <w:sz w:val="18"/>
                <w:szCs w:val="18"/>
              </w:rPr>
              <w:t>Afghanistan (AFG)</w:t>
            </w:r>
          </w:p>
        </w:tc>
        <w:tc>
          <w:tcPr>
            <w:tcW w:w="11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B0398" w14:textId="77777777" w:rsidR="00D778DF" w:rsidRDefault="00D778DF">
            <w:r>
              <w:rPr>
                <w:sz w:val="18"/>
                <w:szCs w:val="18"/>
              </w:rPr>
              <w:t>2001–2021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5A481" w14:textId="77777777" w:rsidR="00D778DF" w:rsidRDefault="00D778DF">
            <w:r>
              <w:rPr>
                <w:sz w:val="18"/>
                <w:szCs w:val="18"/>
              </w:rPr>
              <w:t>~1,400/yr average (2009–2020)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4AAE1" w14:textId="77777777" w:rsidR="00D778DF" w:rsidRDefault="00D778DF">
            <w:r>
              <w:rPr>
                <w:sz w:val="18"/>
                <w:szCs w:val="18"/>
              </w:rPr>
              <w:t>Stable over-prediction (~15–20%); 2021 collapse flagged</w:t>
            </w:r>
          </w:p>
        </w:tc>
        <w:tc>
          <w:tcPr>
            <w:tcW w:w="14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C6F8" w14:textId="77777777" w:rsidR="00D778DF" w:rsidRDefault="00D778DF">
            <w:r>
              <w:rPr>
                <w:sz w:val="18"/>
                <w:szCs w:val="18"/>
              </w:rPr>
              <w:t>Systematic +15–20% over-prediction bias</w:t>
            </w:r>
          </w:p>
        </w:tc>
        <w:tc>
          <w:tcPr>
            <w:tcW w:w="25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208B5" w14:textId="77777777" w:rsidR="00D778DF" w:rsidRDefault="00D778DF">
            <w:r>
              <w:rPr>
                <w:sz w:val="18"/>
                <w:szCs w:val="18"/>
              </w:rPr>
              <w:t>Saturation effect; post-2021 drop reflects reporting collapse, not real reduction</w:t>
            </w:r>
          </w:p>
        </w:tc>
      </w:tr>
      <w:tr w:rsidR="00D778DF" w14:paraId="438E453E" w14:textId="77777777" w:rsidTr="00D778DF">
        <w:tc>
          <w:tcPr>
            <w:tcW w:w="8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A933D" w14:textId="77777777" w:rsidR="00D778DF" w:rsidRDefault="00D778DF">
            <w:r>
              <w:rPr>
                <w:b/>
                <w:bCs/>
                <w:color w:val="1F4E79"/>
                <w:sz w:val="18"/>
                <w:szCs w:val="18"/>
              </w:rPr>
              <w:t>Case 6</w:t>
            </w:r>
          </w:p>
        </w:tc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F34AC" w14:textId="77777777" w:rsidR="00D778DF" w:rsidRDefault="00D778DF">
            <w:r>
              <w:rPr>
                <w:sz w:val="18"/>
                <w:szCs w:val="18"/>
              </w:rPr>
              <w:t>Colombia (COL)</w:t>
            </w:r>
          </w:p>
        </w:tc>
        <w:tc>
          <w:tcPr>
            <w:tcW w:w="11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47617" w14:textId="77777777" w:rsidR="00D778DF" w:rsidRDefault="00D778DF">
            <w:r>
              <w:rPr>
                <w:sz w:val="18"/>
                <w:szCs w:val="18"/>
              </w:rPr>
              <w:t>2012–2020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31CC8" w14:textId="77777777" w:rsidR="00D778DF" w:rsidRDefault="00D778DF">
            <w:r>
              <w:rPr>
                <w:sz w:val="18"/>
                <w:szCs w:val="18"/>
              </w:rPr>
              <w:t>~400 (2014) → ~120 (2019)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408FC" w14:textId="77777777" w:rsidR="00D778DF" w:rsidRDefault="00D778DF">
            <w:r>
              <w:rPr>
                <w:sz w:val="18"/>
                <w:szCs w:val="18"/>
              </w:rPr>
              <w:t>Declining — correctly predicted post-agreement</w:t>
            </w:r>
          </w:p>
        </w:tc>
        <w:tc>
          <w:tcPr>
            <w:tcW w:w="14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0EA27" w14:textId="77777777" w:rsidR="00D778DF" w:rsidRDefault="00D778DF">
            <w:r>
              <w:rPr>
                <w:sz w:val="18"/>
                <w:szCs w:val="18"/>
              </w:rPr>
              <w:t>Within 18% for all 2017–2019 years</w:t>
            </w:r>
          </w:p>
        </w:tc>
        <w:tc>
          <w:tcPr>
            <w:tcW w:w="25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3B25B" w14:textId="77777777" w:rsidR="00D778DF" w:rsidRDefault="00D778DF">
            <w:r>
              <w:rPr>
                <w:sz w:val="18"/>
                <w:szCs w:val="18"/>
              </w:rPr>
              <w:t>Clearest model vindication; governance improvements translate to risk reduction</w:t>
            </w:r>
          </w:p>
        </w:tc>
      </w:tr>
    </w:tbl>
    <w:p w14:paraId="440342DA" w14:textId="77777777" w:rsidR="0080606D" w:rsidRDefault="0080606D">
      <w:pPr>
        <w:spacing w:before="480" w:after="120"/>
      </w:pPr>
    </w:p>
    <w:p w14:paraId="777F8D9D" w14:textId="77777777" w:rsidR="00240D88" w:rsidRDefault="00240D88">
      <w:pPr>
        <w:spacing w:before="480" w:after="120"/>
      </w:pPr>
    </w:p>
    <w:p w14:paraId="147B77B8" w14:textId="77777777" w:rsidR="00240D88" w:rsidRDefault="00240D88">
      <w:pPr>
        <w:spacing w:before="480" w:after="120"/>
      </w:pPr>
    </w:p>
    <w:p w14:paraId="4C286B2E" w14:textId="77777777" w:rsidR="0080606D" w:rsidRDefault="00000000">
      <w:pPr>
        <w:pStyle w:val="Heading1"/>
      </w:pPr>
      <w:r>
        <w:lastRenderedPageBreak/>
        <w:t xml:space="preserve">Table 2: </w:t>
      </w:r>
      <w:proofErr w:type="spellStart"/>
      <w:r>
        <w:t>DarkTrace</w:t>
      </w:r>
      <w:proofErr w:type="spellEnd"/>
      <w:r>
        <w:t xml:space="preserve"> — Gradient Boosting Classifier Application Cases</w:t>
      </w:r>
    </w:p>
    <w:p w14:paraId="45A49036" w14:textId="77777777" w:rsidR="0080606D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 xml:space="preserve">Model: </w:t>
      </w:r>
      <w:proofErr w:type="spellStart"/>
      <w:r>
        <w:rPr>
          <w:i/>
          <w:iCs/>
          <w:color w:val="595959"/>
          <w:sz w:val="18"/>
          <w:szCs w:val="18"/>
        </w:rPr>
        <w:t>GradientBoostingClassifier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sklearn</w:t>
      </w:r>
      <w:proofErr w:type="spellEnd"/>
      <w:r>
        <w:rPr>
          <w:i/>
          <w:iCs/>
          <w:color w:val="595959"/>
          <w:sz w:val="18"/>
          <w:szCs w:val="18"/>
        </w:rPr>
        <w:t xml:space="preserve">) | </w:t>
      </w:r>
      <w:proofErr w:type="spellStart"/>
      <w:r>
        <w:rPr>
          <w:i/>
          <w:iCs/>
          <w:color w:val="595959"/>
          <w:sz w:val="18"/>
          <w:szCs w:val="18"/>
        </w:rPr>
        <w:t>n_estimators</w:t>
      </w:r>
      <w:proofErr w:type="spellEnd"/>
      <w:r>
        <w:rPr>
          <w:i/>
          <w:iCs/>
          <w:color w:val="595959"/>
          <w:sz w:val="18"/>
          <w:szCs w:val="18"/>
        </w:rPr>
        <w:t xml:space="preserve">: 200 | </w:t>
      </w:r>
      <w:proofErr w:type="spellStart"/>
      <w:r>
        <w:rPr>
          <w:i/>
          <w:iCs/>
          <w:color w:val="595959"/>
          <w:sz w:val="18"/>
          <w:szCs w:val="18"/>
        </w:rPr>
        <w:t>max_depth</w:t>
      </w:r>
      <w:proofErr w:type="spellEnd"/>
      <w:r>
        <w:rPr>
          <w:i/>
          <w:iCs/>
          <w:color w:val="595959"/>
          <w:sz w:val="18"/>
          <w:szCs w:val="18"/>
        </w:rPr>
        <w:t>: 5 | Target: Attack Success Probability | Dataset: GTD 1970–2020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1061"/>
        <w:gridCol w:w="2977"/>
        <w:gridCol w:w="1274"/>
        <w:gridCol w:w="3184"/>
        <w:gridCol w:w="1783"/>
        <w:gridCol w:w="3090"/>
      </w:tblGrid>
      <w:tr w:rsidR="0080606D" w14:paraId="0B3A5A4B" w14:textId="77777777" w:rsidTr="00240D88">
        <w:trPr>
          <w:tblHeader/>
        </w:trPr>
        <w:tc>
          <w:tcPr>
            <w:tcW w:w="801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D52EA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Case ID</w:t>
            </w:r>
          </w:p>
        </w:tc>
        <w:tc>
          <w:tcPr>
            <w:tcW w:w="1061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2B90B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095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1B342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Configuration</w:t>
            </w:r>
          </w:p>
        </w:tc>
        <w:tc>
          <w:tcPr>
            <w:tcW w:w="850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6EA21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Predicted Probability</w:t>
            </w:r>
          </w:p>
        </w:tc>
        <w:tc>
          <w:tcPr>
            <w:tcW w:w="3260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0D745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Driver Factors</w:t>
            </w:r>
          </w:p>
        </w:tc>
        <w:tc>
          <w:tcPr>
            <w:tcW w:w="1843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F3F64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Sensitivity Note</w:t>
            </w:r>
          </w:p>
        </w:tc>
        <w:tc>
          <w:tcPr>
            <w:tcW w:w="3260" w:type="dxa"/>
            <w:tcBorders>
              <w:top w:val="single" w:sz="4" w:space="0" w:color="1A4A78"/>
              <w:left w:val="single" w:sz="4" w:space="0" w:color="1A4A78"/>
              <w:bottom w:val="single" w:sz="4" w:space="0" w:color="1A4A78"/>
              <w:right w:val="single" w:sz="4" w:space="0" w:color="1A4A7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FCA8C" w14:textId="77777777" w:rsidR="008060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Analytical Note</w:t>
            </w:r>
          </w:p>
        </w:tc>
      </w:tr>
      <w:tr w:rsidR="0080606D" w14:paraId="1AF90B23" w14:textId="77777777" w:rsidTr="00240D88"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6A56B" w14:textId="77777777" w:rsidR="0080606D" w:rsidRDefault="00000000">
            <w:r>
              <w:rPr>
                <w:b/>
                <w:bCs/>
                <w:color w:val="1F4E79"/>
                <w:sz w:val="18"/>
                <w:szCs w:val="18"/>
              </w:rPr>
              <w:t>CASE-001</w:t>
            </w:r>
          </w:p>
        </w:tc>
        <w:tc>
          <w:tcPr>
            <w:tcW w:w="1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4E03A" w14:textId="77777777" w:rsidR="0080606D" w:rsidRDefault="00000000">
            <w:r>
              <w:rPr>
                <w:sz w:val="18"/>
                <w:szCs w:val="18"/>
              </w:rPr>
              <w:t>Critical Risk</w:t>
            </w:r>
          </w:p>
        </w:tc>
        <w:tc>
          <w:tcPr>
            <w:tcW w:w="30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AC930" w14:textId="77777777" w:rsidR="0080606D" w:rsidRDefault="00000000">
            <w:r>
              <w:rPr>
                <w:sz w:val="18"/>
                <w:szCs w:val="18"/>
              </w:rPr>
              <w:t>Year: 2015 | Attack: Bombing/Explosion | Target: Government | Weapon: Explosives | Region: MENA | Suicide Op: Yes | Extended: No | International: Yes | Claimed: Yes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53884" w14:textId="77777777" w:rsidR="0080606D" w:rsidRDefault="00000000">
            <w:r>
              <w:rPr>
                <w:sz w:val="18"/>
                <w:szCs w:val="18"/>
              </w:rPr>
              <w:t>~89–93%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5E005" w14:textId="77777777" w:rsidR="0080606D" w:rsidRDefault="00000000">
            <w:r>
              <w:rPr>
                <w:sz w:val="18"/>
                <w:szCs w:val="18"/>
              </w:rPr>
              <w:t>Suicide op (+18 pp lift); MENA region modifier (+0.09); Bombing/explosion high base success; Claimed responsibility; Government target</w:t>
            </w:r>
          </w:p>
        </w:tc>
        <w:tc>
          <w:tcPr>
            <w:tcW w:w="18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FDEE9" w14:textId="77777777" w:rsidR="0080606D" w:rsidRDefault="00000000">
            <w:r>
              <w:rPr>
                <w:sz w:val="18"/>
                <w:szCs w:val="18"/>
              </w:rPr>
              <w:t>Remove international component: –4 pp. Switch to private target: –7 pp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758DD" w14:textId="77777777" w:rsidR="0080606D" w:rsidRDefault="00000000">
            <w:r>
              <w:rPr>
                <w:sz w:val="18"/>
                <w:szCs w:val="18"/>
              </w:rPr>
              <w:t>Combines strongest risk factors in GBM model. Single interdiction (e.g. disrupting claim chain) measurably reduces likelihood.</w:t>
            </w:r>
          </w:p>
        </w:tc>
      </w:tr>
      <w:tr w:rsidR="0080606D" w14:paraId="6CF782E3" w14:textId="77777777" w:rsidTr="00240D88"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D0EB6" w14:textId="77777777" w:rsidR="0080606D" w:rsidRDefault="00000000">
            <w:r>
              <w:rPr>
                <w:b/>
                <w:bCs/>
                <w:color w:val="1F4E79"/>
                <w:sz w:val="18"/>
                <w:szCs w:val="18"/>
              </w:rPr>
              <w:t>CASE-002</w:t>
            </w:r>
          </w:p>
        </w:tc>
        <w:tc>
          <w:tcPr>
            <w:tcW w:w="1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A4384" w14:textId="77777777" w:rsidR="0080606D" w:rsidRDefault="00000000">
            <w:r>
              <w:rPr>
                <w:sz w:val="18"/>
                <w:szCs w:val="18"/>
              </w:rPr>
              <w:t>High Risk</w:t>
            </w:r>
          </w:p>
        </w:tc>
        <w:tc>
          <w:tcPr>
            <w:tcW w:w="30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D1244" w14:textId="77777777" w:rsidR="0080606D" w:rsidRDefault="00000000">
            <w:r>
              <w:rPr>
                <w:sz w:val="18"/>
                <w:szCs w:val="18"/>
              </w:rPr>
              <w:t>Year: 2010 | Attack: Assassination | Target: Private Citizens | Weapon: Firearms | Region: South Asia | Suicide Op: No | Extended: Yes | International: No | Claimed: No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2A972" w14:textId="77777777" w:rsidR="0080606D" w:rsidRDefault="00000000">
            <w:r>
              <w:rPr>
                <w:sz w:val="18"/>
                <w:szCs w:val="18"/>
              </w:rPr>
              <w:t>~71–78%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6615" w14:textId="77777777" w:rsidR="0080606D" w:rsidRDefault="00000000">
            <w:r>
              <w:rPr>
                <w:sz w:val="18"/>
                <w:szCs w:val="18"/>
              </w:rPr>
              <w:t>Assassination highest base success (0.946); Extended incident +moderate lift; South Asia region (+0.07); Firearms high certainty; Unclaimed may indicate covert actor</w:t>
            </w:r>
          </w:p>
        </w:tc>
        <w:tc>
          <w:tcPr>
            <w:tcW w:w="18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83495" w14:textId="77777777" w:rsidR="0080606D" w:rsidRDefault="00000000">
            <w:r>
              <w:rPr>
                <w:sz w:val="18"/>
                <w:szCs w:val="18"/>
              </w:rPr>
              <w:t>Year shift post-2014: –1.5 pp. Add international component: +3 pp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02D5" w14:textId="77777777" w:rsidR="0080606D" w:rsidRDefault="00000000">
            <w:r>
              <w:rPr>
                <w:sz w:val="18"/>
                <w:szCs w:val="18"/>
              </w:rPr>
              <w:t>Targeted assassinations score high due to execution efficiency. Extended incident flag indicates planned sustained operation.</w:t>
            </w:r>
          </w:p>
        </w:tc>
      </w:tr>
      <w:tr w:rsidR="0080606D" w14:paraId="3F6265F2" w14:textId="77777777" w:rsidTr="00240D88"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532AD" w14:textId="77777777" w:rsidR="0080606D" w:rsidRDefault="00000000">
            <w:r>
              <w:rPr>
                <w:b/>
                <w:bCs/>
                <w:color w:val="1F4E79"/>
                <w:sz w:val="18"/>
                <w:szCs w:val="18"/>
              </w:rPr>
              <w:t>CASE-003</w:t>
            </w:r>
          </w:p>
        </w:tc>
        <w:tc>
          <w:tcPr>
            <w:tcW w:w="1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60C90" w14:textId="77777777" w:rsidR="0080606D" w:rsidRDefault="00000000">
            <w:r>
              <w:rPr>
                <w:sz w:val="18"/>
                <w:szCs w:val="18"/>
              </w:rPr>
              <w:t>High Risk</w:t>
            </w:r>
          </w:p>
        </w:tc>
        <w:tc>
          <w:tcPr>
            <w:tcW w:w="30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B193" w14:textId="77777777" w:rsidR="0080606D" w:rsidRDefault="00000000">
            <w:r>
              <w:rPr>
                <w:sz w:val="18"/>
                <w:szCs w:val="18"/>
              </w:rPr>
              <w:t>Year: 2018 | Attack: Facility/Infrastructure | Target: Business | Weapon: Incendiary | Region: Sub-Saharan Africa | Suicide Op: No | Extended: No | International: No | Claimed: Yes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53643" w14:textId="77777777" w:rsidR="0080606D" w:rsidRDefault="00000000">
            <w:r>
              <w:rPr>
                <w:sz w:val="18"/>
                <w:szCs w:val="18"/>
              </w:rPr>
              <w:t>~74–80%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F6481" w14:textId="77777777" w:rsidR="0080606D" w:rsidRDefault="00000000">
            <w:r>
              <w:rPr>
                <w:sz w:val="18"/>
                <w:szCs w:val="18"/>
              </w:rPr>
              <w:t>Facility attacks highest base success rate (0.971); Incendiary effective on static targets; Sub-Saharan Africa (+0.08); Business targets lower security; Claimed = group cohesion</w:t>
            </w:r>
          </w:p>
        </w:tc>
        <w:tc>
          <w:tcPr>
            <w:tcW w:w="18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FA399" w14:textId="77777777" w:rsidR="0080606D" w:rsidRDefault="00000000">
            <w:r>
              <w:rPr>
                <w:sz w:val="18"/>
                <w:szCs w:val="18"/>
              </w:rPr>
              <w:t>Switch to military target: –12 pp. Move year to 1990 baseline: +3 pp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EC70" w14:textId="77777777" w:rsidR="0080606D" w:rsidRDefault="00000000">
            <w:r>
              <w:rPr>
                <w:sz w:val="18"/>
                <w:szCs w:val="18"/>
              </w:rPr>
              <w:t>Infrastructure attacks require minimal sophistication. Incendiary against business in low emergency-response region yields near-certain physical effect.</w:t>
            </w:r>
          </w:p>
        </w:tc>
      </w:tr>
      <w:tr w:rsidR="0080606D" w14:paraId="731E9DB7" w14:textId="77777777" w:rsidTr="00240D88"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DC5E9" w14:textId="77777777" w:rsidR="0080606D" w:rsidRDefault="00000000">
            <w:r>
              <w:rPr>
                <w:b/>
                <w:bCs/>
                <w:color w:val="1F4E79"/>
                <w:sz w:val="18"/>
                <w:szCs w:val="18"/>
              </w:rPr>
              <w:t>CASE-004</w:t>
            </w:r>
          </w:p>
        </w:tc>
        <w:tc>
          <w:tcPr>
            <w:tcW w:w="1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630D" w14:textId="77777777" w:rsidR="0080606D" w:rsidRDefault="00000000">
            <w:r>
              <w:rPr>
                <w:sz w:val="18"/>
                <w:szCs w:val="18"/>
              </w:rPr>
              <w:t>Moderate-High Risk</w:t>
            </w:r>
          </w:p>
        </w:tc>
        <w:tc>
          <w:tcPr>
            <w:tcW w:w="30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904F" w14:textId="77777777" w:rsidR="0080606D" w:rsidRDefault="00000000">
            <w:r>
              <w:rPr>
                <w:sz w:val="18"/>
                <w:szCs w:val="18"/>
              </w:rPr>
              <w:t>Year: 2005 | Attack: Hostage Taking | Target: Journalists/Media | Weapon: Unknown | Region: Western Europe | Suicide Op: No | Extended: Yes | International: Yes | Claimed: Yes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F1572" w14:textId="77777777" w:rsidR="0080606D" w:rsidRDefault="00000000">
            <w:r>
              <w:rPr>
                <w:sz w:val="18"/>
                <w:szCs w:val="18"/>
              </w:rPr>
              <w:t>~62–68%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67BDF" w14:textId="77777777" w:rsidR="0080606D" w:rsidRDefault="00000000">
            <w:r>
              <w:rPr>
                <w:sz w:val="18"/>
                <w:szCs w:val="18"/>
              </w:rPr>
              <w:t>Hostage taking moderate-high base success (0.912); Western Europe lower regional modifier partially offsets; Extended + international both add lift; Unknown weapon applies slight penalty</w:t>
            </w:r>
          </w:p>
        </w:tc>
        <w:tc>
          <w:tcPr>
            <w:tcW w:w="18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B0277" w14:textId="77777777" w:rsidR="0080606D" w:rsidRDefault="00000000">
            <w:r>
              <w:rPr>
                <w:sz w:val="18"/>
                <w:szCs w:val="18"/>
              </w:rPr>
              <w:t>Move to MENA region: +12–15 pp. Remove extended incident: –5 pp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A4AA6" w14:textId="77777777" w:rsidR="0080606D" w:rsidRDefault="00000000">
            <w:r>
              <w:rPr>
                <w:sz w:val="18"/>
                <w:szCs w:val="18"/>
              </w:rPr>
              <w:t>Journalist/media targeting signals information warfare component. Western Europe strong response capacity limits ultimate success probability.</w:t>
            </w:r>
          </w:p>
        </w:tc>
      </w:tr>
      <w:tr w:rsidR="0080606D" w14:paraId="1D477667" w14:textId="77777777" w:rsidTr="00240D88">
        <w:tc>
          <w:tcPr>
            <w:tcW w:w="8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56665" w14:textId="77777777" w:rsidR="0080606D" w:rsidRDefault="00000000">
            <w:r>
              <w:rPr>
                <w:b/>
                <w:bCs/>
                <w:color w:val="1F4E79"/>
                <w:sz w:val="18"/>
                <w:szCs w:val="18"/>
              </w:rPr>
              <w:t>CASE-005</w:t>
            </w:r>
          </w:p>
        </w:tc>
        <w:tc>
          <w:tcPr>
            <w:tcW w:w="1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626B5" w14:textId="77777777" w:rsidR="0080606D" w:rsidRDefault="00000000">
            <w:r>
              <w:rPr>
                <w:sz w:val="18"/>
                <w:szCs w:val="18"/>
              </w:rPr>
              <w:t>Moderate Risk</w:t>
            </w:r>
          </w:p>
        </w:tc>
        <w:tc>
          <w:tcPr>
            <w:tcW w:w="30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7A487" w14:textId="77777777" w:rsidR="0080606D" w:rsidRDefault="00000000">
            <w:r>
              <w:rPr>
                <w:sz w:val="18"/>
                <w:szCs w:val="18"/>
              </w:rPr>
              <w:t>Year: 2000 | Attack: Unarmed Assault | Target: Military | Weapon: Melee | Region: Eastern Europe | Suicide Op: No | Extended: No | International: No | Claimed: No</w:t>
            </w:r>
          </w:p>
        </w:tc>
        <w:tc>
          <w:tcPr>
            <w:tcW w:w="8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FA06A" w14:textId="77777777" w:rsidR="0080606D" w:rsidRDefault="00000000">
            <w:r>
              <w:rPr>
                <w:sz w:val="18"/>
                <w:szCs w:val="18"/>
              </w:rPr>
              <w:t>~38–45%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9E663" w14:textId="77777777" w:rsidR="0080606D" w:rsidRDefault="00000000">
            <w:r>
              <w:rPr>
                <w:sz w:val="18"/>
                <w:szCs w:val="18"/>
              </w:rPr>
              <w:t>Unarmed assault low base success rate; Military target highest hardening penalty; Eastern Europe lower risk modifier; No suicide/international/claimed — all reduce probability</w:t>
            </w:r>
          </w:p>
        </w:tc>
        <w:tc>
          <w:tcPr>
            <w:tcW w:w="18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842C1" w14:textId="77777777" w:rsidR="0080606D" w:rsidRDefault="00000000">
            <w:r>
              <w:rPr>
                <w:sz w:val="18"/>
                <w:szCs w:val="18"/>
              </w:rPr>
              <w:t>Add suicide op: +18 pp. Move to MENA: +9 pp. Change to bombing: +25 pp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590F9" w14:textId="77777777" w:rsidR="0080606D" w:rsidRDefault="00000000">
            <w:r>
              <w:rPr>
                <w:sz w:val="18"/>
                <w:szCs w:val="18"/>
              </w:rPr>
              <w:t>Low-probability scenario demonstrating model's discriminatory power at the lower end of the risk spectrum; useful as a comparison anchor.</w:t>
            </w:r>
          </w:p>
        </w:tc>
      </w:tr>
    </w:tbl>
    <w:p w14:paraId="59960E01" w14:textId="632CEACB" w:rsidR="0080606D" w:rsidRDefault="0080606D">
      <w:pPr>
        <w:spacing w:before="240"/>
        <w:jc w:val="right"/>
      </w:pPr>
    </w:p>
    <w:sectPr w:rsidR="0080606D">
      <w:pgSz w:w="15840" w:h="122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2FCC"/>
    <w:multiLevelType w:val="hybridMultilevel"/>
    <w:tmpl w:val="F6F2343E"/>
    <w:lvl w:ilvl="0" w:tplc="B11E59AE">
      <w:start w:val="1"/>
      <w:numFmt w:val="bullet"/>
      <w:lvlText w:val="●"/>
      <w:lvlJc w:val="left"/>
      <w:pPr>
        <w:ind w:left="720" w:hanging="360"/>
      </w:pPr>
    </w:lvl>
    <w:lvl w:ilvl="1" w:tplc="E4E83272">
      <w:start w:val="1"/>
      <w:numFmt w:val="bullet"/>
      <w:lvlText w:val="○"/>
      <w:lvlJc w:val="left"/>
      <w:pPr>
        <w:ind w:left="1440" w:hanging="360"/>
      </w:pPr>
    </w:lvl>
    <w:lvl w:ilvl="2" w:tplc="9D44C004">
      <w:start w:val="1"/>
      <w:numFmt w:val="bullet"/>
      <w:lvlText w:val="■"/>
      <w:lvlJc w:val="left"/>
      <w:pPr>
        <w:ind w:left="2160" w:hanging="360"/>
      </w:pPr>
    </w:lvl>
    <w:lvl w:ilvl="3" w:tplc="D7FC9FD8">
      <w:start w:val="1"/>
      <w:numFmt w:val="bullet"/>
      <w:lvlText w:val="●"/>
      <w:lvlJc w:val="left"/>
      <w:pPr>
        <w:ind w:left="2880" w:hanging="360"/>
      </w:pPr>
    </w:lvl>
    <w:lvl w:ilvl="4" w:tplc="CCDCAD0A">
      <w:start w:val="1"/>
      <w:numFmt w:val="bullet"/>
      <w:lvlText w:val="○"/>
      <w:lvlJc w:val="left"/>
      <w:pPr>
        <w:ind w:left="3600" w:hanging="360"/>
      </w:pPr>
    </w:lvl>
    <w:lvl w:ilvl="5" w:tplc="032AD9E0">
      <w:start w:val="1"/>
      <w:numFmt w:val="bullet"/>
      <w:lvlText w:val="■"/>
      <w:lvlJc w:val="left"/>
      <w:pPr>
        <w:ind w:left="4320" w:hanging="360"/>
      </w:pPr>
    </w:lvl>
    <w:lvl w:ilvl="6" w:tplc="E00A9D9C">
      <w:start w:val="1"/>
      <w:numFmt w:val="bullet"/>
      <w:lvlText w:val="●"/>
      <w:lvlJc w:val="left"/>
      <w:pPr>
        <w:ind w:left="5040" w:hanging="360"/>
      </w:pPr>
    </w:lvl>
    <w:lvl w:ilvl="7" w:tplc="FB602B16">
      <w:start w:val="1"/>
      <w:numFmt w:val="bullet"/>
      <w:lvlText w:val="●"/>
      <w:lvlJc w:val="left"/>
      <w:pPr>
        <w:ind w:left="5760" w:hanging="360"/>
      </w:pPr>
    </w:lvl>
    <w:lvl w:ilvl="8" w:tplc="6166E778">
      <w:start w:val="1"/>
      <w:numFmt w:val="bullet"/>
      <w:lvlText w:val="●"/>
      <w:lvlJc w:val="left"/>
      <w:pPr>
        <w:ind w:left="6480" w:hanging="360"/>
      </w:pPr>
    </w:lvl>
  </w:abstractNum>
  <w:num w:numId="1" w16cid:durableId="1806194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06D"/>
    <w:rsid w:val="00240D88"/>
    <w:rsid w:val="00436CDF"/>
    <w:rsid w:val="0080606D"/>
    <w:rsid w:val="0082795D"/>
    <w:rsid w:val="00C34607"/>
    <w:rsid w:val="00D7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664E"/>
  <w15:docId w15:val="{B166E00F-63CA-4555-8D51-37840125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 Chaurasia</cp:lastModifiedBy>
  <cp:revision>3</cp:revision>
  <dcterms:created xsi:type="dcterms:W3CDTF">2026-04-30T19:04:00Z</dcterms:created>
  <dcterms:modified xsi:type="dcterms:W3CDTF">2026-05-25T15:31:00Z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2c76d14e-01f6-4387-8e88-21c3020d4efd</vt:lpwstr>
  </property>
</Properties>
</file>