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Dataset Details</w:t>
      </w:r>
    </w:p>
    <w:p>
      <w:pPr>
        <w:spacing w:after="400"/>
      </w:pPr>
      <w:r>
        <w:rPr>
          <w:i/>
          <w:iCs/>
          <w:color w:val="555555"/>
        </w:rPr>
        <w:t xml:space="preserve">Sample Superstore Dataset</w:t>
      </w:r>
    </w:p>
    <w:p>
      <w:pPr>
        <w:pStyle w:val="Heading1"/>
        <w:spacing w:after="150" w:before="300"/>
      </w:pPr>
      <w:r>
        <w:t xml:space="preserve">1. Source</w:t>
      </w:r>
    </w:p>
    <w:p>
      <w:pPr>
        <w:spacing w:after="120"/>
      </w:pPr>
      <w:r>
        <w:t xml:space="preserve">Kaggle — Sample Superstore dataset (US retail orders). File: Sample - Superstore.csv.</w:t>
      </w:r>
    </w:p>
    <w:p>
      <w:pPr>
        <w:pStyle w:val="Heading1"/>
        <w:spacing w:after="150" w:before="300"/>
      </w:pPr>
      <w:r>
        <w:t xml:space="preserve">2. Size &amp; Structure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9,994 rows, 21 columns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5,009 unique orders (multiple line items per order)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793 unique customers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missing values in any column — confirmed clean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Date range: January 3, 2014 to December 30, 2017</w:t>
      </w:r>
    </w:p>
    <w:p>
      <w:pPr>
        <w:pStyle w:val="Heading1"/>
        <w:spacing w:after="150" w:before="300"/>
      </w:pPr>
      <w:r>
        <w:t xml:space="preserve">3. Columns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900"/>
      </w:tblGrid>
      <w:tr>
        <w:trPr>
          <w:tblHeader/>
        </w:trPr>
        <w:tc>
          <w:tcPr>
            <w:tcW w:type="dxa" w:w="2600"/>
            <w:shd w:fill="1F4E5F" w:color="auto" w:val="clear"/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600"/>
            <w:shd w:fill="1F4E5F" w:color="auto" w:val="clea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900"/>
            <w:shd w:fill="1F4E5F" w:color="auto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600"/>
          </w:tcPr>
          <w:p>
            <w:r>
              <w:t xml:space="preserve">Row ID</w:t>
            </w:r>
          </w:p>
        </w:tc>
        <w:tc>
          <w:tcPr>
            <w:tcW w:type="dxa" w:w="1600"/>
          </w:tcPr>
          <w:p>
            <w:r>
              <w:t xml:space="preserve">Integer</w:t>
            </w:r>
          </w:p>
        </w:tc>
        <w:tc>
          <w:tcPr>
            <w:tcW w:type="dxa" w:w="5900"/>
          </w:tcPr>
          <w:p>
            <w:r>
              <w:t xml:space="preserve">Row identifier</w:t>
            </w:r>
          </w:p>
        </w:tc>
      </w:tr>
      <w:tr>
        <w:tc>
          <w:tcPr>
            <w:tcW w:type="dxa" w:w="2600"/>
          </w:tcPr>
          <w:p>
            <w:r>
              <w:t xml:space="preserve">Order ID</w:t>
            </w:r>
          </w:p>
        </w:tc>
        <w:tc>
          <w:tcPr>
            <w:tcW w:type="dxa" w:w="1600"/>
          </w:tcPr>
          <w:p>
            <w:r>
              <w:t xml:space="preserve">Text</w:t>
            </w:r>
          </w:p>
        </w:tc>
        <w:tc>
          <w:tcPr>
            <w:tcW w:type="dxa" w:w="5900"/>
          </w:tcPr>
          <w:p>
            <w:r>
              <w:t xml:space="preserve">Order identifier (shared across line items in one order)</w:t>
            </w:r>
          </w:p>
        </w:tc>
      </w:tr>
      <w:tr>
        <w:tc>
          <w:tcPr>
            <w:tcW w:type="dxa" w:w="2600"/>
          </w:tcPr>
          <w:p>
            <w:r>
              <w:t xml:space="preserve">Order Date / Ship Date</w:t>
            </w:r>
          </w:p>
        </w:tc>
        <w:tc>
          <w:tcPr>
            <w:tcW w:type="dxa" w:w="1600"/>
          </w:tcPr>
          <w:p>
            <w:r>
              <w:t xml:space="preserve">Date</w:t>
            </w:r>
          </w:p>
        </w:tc>
        <w:tc>
          <w:tcPr>
            <w:tcW w:type="dxa" w:w="5900"/>
          </w:tcPr>
          <w:p>
            <w:r>
              <w:t xml:space="preserve">When the order was placed / shipped</w:t>
            </w:r>
          </w:p>
        </w:tc>
      </w:tr>
      <w:tr>
        <w:tc>
          <w:tcPr>
            <w:tcW w:type="dxa" w:w="2600"/>
          </w:tcPr>
          <w:p>
            <w:r>
              <w:t xml:space="preserve">Ship Mode</w:t>
            </w:r>
          </w:p>
        </w:tc>
        <w:tc>
          <w:tcPr>
            <w:tcW w:type="dxa" w:w="1600"/>
          </w:tcPr>
          <w:p>
            <w:r>
              <w:t xml:space="preserve">Text</w:t>
            </w:r>
          </w:p>
        </w:tc>
        <w:tc>
          <w:tcPr>
            <w:tcW w:type="dxa" w:w="5900"/>
          </w:tcPr>
          <w:p>
            <w:r>
              <w:t xml:space="preserve">Standard, Second, First Class, or Same Day</w:t>
            </w:r>
          </w:p>
        </w:tc>
      </w:tr>
      <w:tr>
        <w:tc>
          <w:tcPr>
            <w:tcW w:type="dxa" w:w="2600"/>
          </w:tcPr>
          <w:p>
            <w:r>
              <w:t xml:space="preserve">Customer ID / Name</w:t>
            </w:r>
          </w:p>
        </w:tc>
        <w:tc>
          <w:tcPr>
            <w:tcW w:type="dxa" w:w="1600"/>
          </w:tcPr>
          <w:p>
            <w:r>
              <w:t xml:space="preserve">Text</w:t>
            </w:r>
          </w:p>
        </w:tc>
        <w:tc>
          <w:tcPr>
            <w:tcW w:type="dxa" w:w="5900"/>
          </w:tcPr>
          <w:p>
            <w:r>
              <w:t xml:space="preserve">Customer identifiers</w:t>
            </w:r>
          </w:p>
        </w:tc>
      </w:tr>
      <w:tr>
        <w:tc>
          <w:tcPr>
            <w:tcW w:type="dxa" w:w="2600"/>
          </w:tcPr>
          <w:p>
            <w:r>
              <w:t xml:space="preserve">Segment</w:t>
            </w:r>
          </w:p>
        </w:tc>
        <w:tc>
          <w:tcPr>
            <w:tcW w:type="dxa" w:w="1600"/>
          </w:tcPr>
          <w:p>
            <w:r>
              <w:t xml:space="preserve">Text</w:t>
            </w:r>
          </w:p>
        </w:tc>
        <w:tc>
          <w:tcPr>
            <w:tcW w:type="dxa" w:w="5900"/>
          </w:tcPr>
          <w:p>
            <w:r>
              <w:t xml:space="preserve">Consumer, Corporate, or Home Office</w:t>
            </w:r>
          </w:p>
        </w:tc>
      </w:tr>
      <w:tr>
        <w:tc>
          <w:tcPr>
            <w:tcW w:type="dxa" w:w="2600"/>
          </w:tcPr>
          <w:p>
            <w:r>
              <w:t xml:space="preserve">City / State / Region / Postal Code</w:t>
            </w:r>
          </w:p>
        </w:tc>
        <w:tc>
          <w:tcPr>
            <w:tcW w:type="dxa" w:w="1600"/>
          </w:tcPr>
          <w:p>
            <w:r>
              <w:t xml:space="preserve">Text / Number</w:t>
            </w:r>
          </w:p>
        </w:tc>
        <w:tc>
          <w:tcPr>
            <w:tcW w:type="dxa" w:w="5900"/>
          </w:tcPr>
          <w:p>
            <w:r>
              <w:t xml:space="preserve">Location of the order</w:t>
            </w:r>
          </w:p>
        </w:tc>
      </w:tr>
      <w:tr>
        <w:tc>
          <w:tcPr>
            <w:tcW w:type="dxa" w:w="2600"/>
          </w:tcPr>
          <w:p>
            <w:r>
              <w:t xml:space="preserve">Product ID / Category / Sub-Category / Product Name</w:t>
            </w:r>
          </w:p>
        </w:tc>
        <w:tc>
          <w:tcPr>
            <w:tcW w:type="dxa" w:w="1600"/>
          </w:tcPr>
          <w:p>
            <w:r>
              <w:t xml:space="preserve">Text</w:t>
            </w:r>
          </w:p>
        </w:tc>
        <w:tc>
          <w:tcPr>
            <w:tcW w:type="dxa" w:w="5900"/>
          </w:tcPr>
          <w:p>
            <w:r>
              <w:t xml:space="preserve">Product identifiers and classification</w:t>
            </w:r>
          </w:p>
        </w:tc>
      </w:tr>
      <w:tr>
        <w:tc>
          <w:tcPr>
            <w:tcW w:type="dxa" w:w="2600"/>
          </w:tcPr>
          <w:p>
            <w:r>
              <w:t xml:space="preserve">Sales</w:t>
            </w:r>
          </w:p>
        </w:tc>
        <w:tc>
          <w:tcPr>
            <w:tcW w:type="dxa" w:w="1600"/>
          </w:tcPr>
          <w:p>
            <w:r>
              <w:t xml:space="preserve">Decimal</w:t>
            </w:r>
          </w:p>
        </w:tc>
        <w:tc>
          <w:tcPr>
            <w:tcW w:type="dxa" w:w="5900"/>
          </w:tcPr>
          <w:p>
            <w:r>
              <w:t xml:space="preserve">Revenue for the line item</w:t>
            </w:r>
          </w:p>
        </w:tc>
      </w:tr>
      <w:tr>
        <w:tc>
          <w:tcPr>
            <w:tcW w:type="dxa" w:w="2600"/>
          </w:tcPr>
          <w:p>
            <w:r>
              <w:t xml:space="preserve">Quantity</w:t>
            </w:r>
          </w:p>
        </w:tc>
        <w:tc>
          <w:tcPr>
            <w:tcW w:type="dxa" w:w="1600"/>
          </w:tcPr>
          <w:p>
            <w:r>
              <w:t xml:space="preserve">Integer</w:t>
            </w:r>
          </w:p>
        </w:tc>
        <w:tc>
          <w:tcPr>
            <w:tcW w:type="dxa" w:w="5900"/>
          </w:tcPr>
          <w:p>
            <w:r>
              <w:t xml:space="preserve">Units ordered</w:t>
            </w:r>
          </w:p>
        </w:tc>
      </w:tr>
      <w:tr>
        <w:tc>
          <w:tcPr>
            <w:tcW w:type="dxa" w:w="2600"/>
          </w:tcPr>
          <w:p>
            <w:r>
              <w:t xml:space="preserve">Discount</w:t>
            </w:r>
          </w:p>
        </w:tc>
        <w:tc>
          <w:tcPr>
            <w:tcW w:type="dxa" w:w="1600"/>
          </w:tcPr>
          <w:p>
            <w:r>
              <w:t xml:space="preserve">Decimal</w:t>
            </w:r>
          </w:p>
        </w:tc>
        <w:tc>
          <w:tcPr>
            <w:tcW w:type="dxa" w:w="5900"/>
          </w:tcPr>
          <w:p>
            <w:r>
              <w:t xml:space="preserve">Discount applied, as a fraction (0 to 0.8)</w:t>
            </w:r>
          </w:p>
        </w:tc>
      </w:tr>
      <w:tr>
        <w:tc>
          <w:tcPr>
            <w:tcW w:type="dxa" w:w="2600"/>
          </w:tcPr>
          <w:p>
            <w:r>
              <w:t xml:space="preserve">Profit</w:t>
            </w:r>
          </w:p>
        </w:tc>
        <w:tc>
          <w:tcPr>
            <w:tcW w:type="dxa" w:w="1600"/>
          </w:tcPr>
          <w:p>
            <w:r>
              <w:t xml:space="preserve">Decimal</w:t>
            </w:r>
          </w:p>
        </w:tc>
        <w:tc>
          <w:tcPr>
            <w:tcW w:type="dxa" w:w="5900"/>
          </w:tcPr>
          <w:p>
            <w:r>
              <w:t xml:space="preserve">Profit for the line item (can be negative)</w:t>
            </w:r>
          </w:p>
        </w:tc>
      </w:tr>
    </w:tbl>
    <w:p>
      <w:pPr>
        <w:pStyle w:val="Heading1"/>
        <w:spacing w:after="150" w:before="300"/>
      </w:pPr>
      <w:r>
        <w:t xml:space="preserve">4. Key Category Values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Category (3): Furniture, Office Supplies, Technology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Sub-Category (17): Bookcases, Chairs, Labels, Tables, Storage, Furnishings, Art, Phones, Binders, Appliances, Paper, Accessories, Envelopes, Fasteners, Supplies, Machines, Copiers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Region (4): South, West, Central, East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State: 49 unique states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Segment (3): Consumer, Corporate, Home Office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Ship Mode (4): Second Class, Standard Class, First Class, Same Day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Discount values observed: 0%, 10%, 15%, 20%, 30%, 32%, 40%, 45%, 50%, 60%, 70%, 80%</w:t>
      </w:r>
    </w:p>
    <w:p>
      <w:pPr>
        <w:pStyle w:val="Heading1"/>
        <w:spacing w:after="150" w:before="300"/>
      </w:pPr>
      <w:r>
        <w:t xml:space="preserve">5. Headline Totals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4600"/>
      </w:tblGrid>
      <w:tr>
        <w:trPr>
          <w:tblHeader/>
        </w:trPr>
        <w:tc>
          <w:tcPr>
            <w:tcW w:type="dxa" w:w="5500"/>
            <w:shd w:fill="1F4E5F" w:color="auto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600"/>
            <w:shd w:fill="1F4E5F" w:color="auto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5500"/>
          </w:tcPr>
          <w:p>
            <w:r>
              <w:t xml:space="preserve">Total Sales</w:t>
            </w:r>
          </w:p>
        </w:tc>
        <w:tc>
          <w:tcPr>
            <w:tcW w:type="dxa" w:w="4600"/>
          </w:tcPr>
          <w:p>
            <w:r>
              <w:t xml:space="preserve">$2,297,200.86</w:t>
            </w:r>
          </w:p>
        </w:tc>
      </w:tr>
      <w:tr>
        <w:tc>
          <w:tcPr>
            <w:tcW w:type="dxa" w:w="5500"/>
          </w:tcPr>
          <w:p>
            <w:r>
              <w:t xml:space="preserve">Total Profit</w:t>
            </w:r>
          </w:p>
        </w:tc>
        <w:tc>
          <w:tcPr>
            <w:tcW w:type="dxa" w:w="4600"/>
          </w:tcPr>
          <w:p>
            <w:r>
              <w:t xml:space="preserve">$286,397.02</w:t>
            </w:r>
          </w:p>
        </w:tc>
      </w:tr>
      <w:tr>
        <w:tc>
          <w:tcPr>
            <w:tcW w:type="dxa" w:w="5500"/>
          </w:tcPr>
          <w:p>
            <w:r>
              <w:t xml:space="preserve">Overall Profit Margin</w:t>
            </w:r>
          </w:p>
        </w:tc>
        <w:tc>
          <w:tcPr>
            <w:tcW w:type="dxa" w:w="4600"/>
          </w:tcPr>
          <w:p>
            <w:r>
              <w:t xml:space="preserve">12.47%</w:t>
            </w:r>
          </w:p>
        </w:tc>
      </w:tr>
      <w:tr>
        <w:tc>
          <w:tcPr>
            <w:tcW w:type="dxa" w:w="5500"/>
          </w:tcPr>
          <w:p>
            <w:r>
              <w:t xml:space="preserve">Total Orders</w:t>
            </w:r>
          </w:p>
        </w:tc>
        <w:tc>
          <w:tcPr>
            <w:tcW w:type="dxa" w:w="4600"/>
          </w:tcPr>
          <w:p>
            <w:r>
              <w:t xml:space="preserve">5,009</w:t>
            </w:r>
          </w:p>
        </w:tc>
      </w:tr>
      <w:tr>
        <w:tc>
          <w:tcPr>
            <w:tcW w:type="dxa" w:w="5500"/>
          </w:tcPr>
          <w:p>
            <w:r>
              <w:t xml:space="preserve">Total Line Items</w:t>
            </w:r>
          </w:p>
        </w:tc>
        <w:tc>
          <w:tcPr>
            <w:tcW w:type="dxa" w:w="4600"/>
          </w:tcPr>
          <w:p>
            <w:r>
              <w:t xml:space="preserve">9,994</w:t>
            </w:r>
          </w:p>
        </w:tc>
      </w:tr>
    </w:tbl>
    <w:p>
      <w:pPr>
        <w:pStyle w:val="Heading1"/>
        <w:spacing w:after="150" w:before="300"/>
      </w:pPr>
      <w:r>
        <w:t xml:space="preserve">6. Known Limitations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cost-of-goods or overhead breakdown — Profit is given as a final figure, so root-cause claims about margin structure are limited to what Sales, Discount, and Profit can prove together.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is observational, not from a randomized experiment — discount levels were not randomly assigned, so causal claims (e.g. from the A/B-style significance test) describe association strength, not guaranteed causation.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 years of combined data — seasonal or year-over-year effects need to be checked explicitly, not assumed.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2026-08-31T14:12:51.919Z</dcterms:created>
  <dcterms:modified xsi:type="dcterms:W3CDTF">2026-08-31T14:12:51.919Z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