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Analysis Questions</w:t>
      </w:r>
    </w:p>
    <w:p>
      <w:pPr>
        <w:spacing w:after="400"/>
      </w:pPr>
      <w:r>
        <w:rPr>
          <w:i/>
          <w:iCs/>
          <w:color w:val="555555"/>
        </w:rPr>
        <w:t xml:space="preserve">Full Question Set — 12 Questions Across 5 Dives</w:t>
      </w:r>
    </w:p>
    <w:p>
      <w:pPr>
        <w:pStyle w:val="Heading1"/>
        <w:spacing w:after="150" w:before="300"/>
      </w:pPr>
      <w:r>
        <w:t xml:space="preserve">Dive 1 — Surface: Discount Tiers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0"/>
      </w:tblGrid>
      <w:tr>
        <w:trPr>
          <w:tblHeader/>
        </w:trPr>
        <w:tc>
          <w:tcPr>
            <w:tcW w:type="dxa" w:w="1500"/>
            <w:shd w:fill="1F4E5F" w:color="auto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600"/>
            <w:shd w:fill="1F4E5F" w:color="auto" w:val="clear"/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</w:tr>
      <w:tr>
        <w:tc>
          <w:tcPr>
            <w:tcW w:type="dxa" w:w="1500"/>
          </w:tcPr>
          <w:p>
            <w:r>
              <w:t xml:space="preserve">MySQL Q1</w:t>
            </w:r>
          </w:p>
        </w:tc>
        <w:tc>
          <w:tcPr>
            <w:tcW w:type="dxa" w:w="7600"/>
          </w:tcPr>
          <w:p>
            <w:r>
              <w:t xml:space="preserve">Discount Tier Segmentation: bucket every transaction into 0%, 1-10%, 11-20%, 21-40%, &gt;40% discount tiers; report total revenue, total profit, order count, and profit margin % per tier.</w:t>
            </w:r>
          </w:p>
        </w:tc>
      </w:tr>
    </w:tbl>
    <w:p>
      <w:pPr>
        <w:pStyle w:val="Heading1"/>
        <w:spacing w:after="150" w:before="300"/>
      </w:pPr>
      <w:r>
        <w:t xml:space="preserve">Dive 2 — Where: Region / State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0"/>
      </w:tblGrid>
      <w:tr>
        <w:trPr>
          <w:tblHeader/>
        </w:trPr>
        <w:tc>
          <w:tcPr>
            <w:tcW w:type="dxa" w:w="1500"/>
            <w:shd w:fill="1F4E5F" w:color="auto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600"/>
            <w:shd w:fill="1F4E5F" w:color="auto" w:val="clear"/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</w:tr>
      <w:tr>
        <w:tc>
          <w:tcPr>
            <w:tcW w:type="dxa" w:w="1500"/>
          </w:tcPr>
          <w:p>
            <w:r>
              <w:t xml:space="preserve">MySQL Q2</w:t>
            </w:r>
          </w:p>
        </w:tc>
        <w:tc>
          <w:tcPr>
            <w:tcW w:type="dxa" w:w="7600"/>
          </w:tcPr>
          <w:p>
            <w:r>
              <w:t xml:space="preserve">Regional Sub-Category Ranking: using DENSE_RANK, find the bottom 3 least profitable sub-categories within each region.</w:t>
            </w:r>
          </w:p>
        </w:tc>
      </w:tr>
      <w:tr>
        <w:tc>
          <w:tcPr>
            <w:tcW w:type="dxa" w:w="1500"/>
          </w:tcPr>
          <w:p>
            <w:r>
              <w:t xml:space="preserve">MySQL Q3</w:t>
            </w:r>
          </w:p>
        </w:tc>
        <w:tc>
          <w:tcPr>
            <w:tcW w:type="dxa" w:w="7600"/>
          </w:tcPr>
          <w:p>
            <w:r>
              <w:t xml:space="preserve">State-Level Profit Drain: identify states with net negative total profit and their loss-order percentage.</w:t>
            </w:r>
          </w:p>
        </w:tc>
      </w:tr>
    </w:tbl>
    <w:p>
      <w:pPr>
        <w:pStyle w:val="Heading1"/>
        <w:spacing w:after="150" w:before="300"/>
      </w:pPr>
      <w:r>
        <w:t xml:space="preserve">Dive 3 — What: Category / Sub-Category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0"/>
      </w:tblGrid>
      <w:tr>
        <w:trPr>
          <w:tblHeader/>
        </w:trPr>
        <w:tc>
          <w:tcPr>
            <w:tcW w:type="dxa" w:w="1500"/>
            <w:shd w:fill="1F4E5F" w:color="auto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600"/>
            <w:shd w:fill="1F4E5F" w:color="auto" w:val="clear"/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</w:tr>
      <w:tr>
        <w:tc>
          <w:tcPr>
            <w:tcW w:type="dxa" w:w="1500"/>
          </w:tcPr>
          <w:p>
            <w:r>
              <w:t xml:space="preserve">Python Q2</w:t>
            </w:r>
          </w:p>
        </w:tc>
        <w:tc>
          <w:tcPr>
            <w:tcW w:type="dxa" w:w="7600"/>
          </w:tcPr>
          <w:p>
            <w:r>
              <w:t xml:space="preserve">Profit Distribution &amp; Outliers by Sub-Category: box/violin plots showing profit spread and outliers per sub-category.</w:t>
            </w:r>
          </w:p>
        </w:tc>
      </w:tr>
    </w:tbl>
    <w:p>
      <w:pPr>
        <w:pStyle w:val="Heading1"/>
        <w:spacing w:after="150" w:before="300"/>
      </w:pPr>
      <w:r>
        <w:t xml:space="preserve">Dive 4 — How Much: Does Volume Offset the Loss?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0"/>
      </w:tblGrid>
      <w:tr>
        <w:trPr>
          <w:tblHeader/>
        </w:trPr>
        <w:tc>
          <w:tcPr>
            <w:tcW w:type="dxa" w:w="1500"/>
            <w:shd w:fill="1F4E5F" w:color="auto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600"/>
            <w:shd w:fill="1F4E5F" w:color="auto" w:val="clear"/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</w:tr>
      <w:tr>
        <w:tc>
          <w:tcPr>
            <w:tcW w:type="dxa" w:w="1500"/>
          </w:tcPr>
          <w:p>
            <w:r>
              <w:t xml:space="preserve">Python Q1</w:t>
            </w:r>
          </w:p>
        </w:tc>
        <w:tc>
          <w:tcPr>
            <w:tcW w:type="dxa" w:w="7600"/>
          </w:tcPr>
          <w:p>
            <w:r>
              <w:t xml:space="preserve">Correlation &amp; Multicollinearity: Pearson/Spearman heatmap across Sales, Quantity, Discount, and Profit.</w:t>
            </w:r>
          </w:p>
        </w:tc>
      </w:tr>
      <w:tr>
        <w:tc>
          <w:tcPr>
            <w:tcW w:type="dxa" w:w="1500"/>
          </w:tcPr>
          <w:p>
            <w:r>
              <w:t xml:space="preserve">Python Q3</w:t>
            </w:r>
          </w:p>
        </w:tc>
        <w:tc>
          <w:tcPr>
            <w:tcW w:type="dxa" w:w="7600"/>
          </w:tcPr>
          <w:p>
            <w:r>
              <w:t xml:space="preserve">Price Elasticity Simulation: quantity vs. margin across 5% discount intervals.</w:t>
            </w:r>
          </w:p>
        </w:tc>
      </w:tr>
      <w:tr>
        <w:tc>
          <w:tcPr>
            <w:tcW w:type="dxa" w:w="1500"/>
          </w:tcPr>
          <w:p>
            <w:r>
              <w:t xml:space="preserve">Python Q3b</w:t>
            </w:r>
          </w:p>
        </w:tc>
        <w:tc>
          <w:tcPr>
            <w:tcW w:type="dxa" w:w="7600"/>
          </w:tcPr>
          <w:p>
            <w:r>
              <w:t xml:space="preserve">Discount Tier A/B Significance Test: statistically test whether the profit difference between discount tiers is real or due to chance.</w:t>
            </w:r>
          </w:p>
        </w:tc>
      </w:tr>
    </w:tbl>
    <w:p>
      <w:pPr>
        <w:pStyle w:val="Heading1"/>
        <w:spacing w:after="150" w:before="300"/>
      </w:pPr>
      <w:r>
        <w:t xml:space="preserve">Dive 5 — Who: Customers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0"/>
      </w:tblGrid>
      <w:tr>
        <w:trPr>
          <w:tblHeader/>
        </w:trPr>
        <w:tc>
          <w:tcPr>
            <w:tcW w:type="dxa" w:w="1500"/>
            <w:shd w:fill="1F4E5F" w:color="auto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600"/>
            <w:shd w:fill="1F4E5F" w:color="auto" w:val="clear"/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</w:tr>
      <w:tr>
        <w:tc>
          <w:tcPr>
            <w:tcW w:type="dxa" w:w="1500"/>
          </w:tcPr>
          <w:p>
            <w:r>
              <w:t xml:space="preserve">MySQL Q4</w:t>
            </w:r>
          </w:p>
        </w:tc>
        <w:tc>
          <w:tcPr>
            <w:tcW w:type="dxa" w:w="7600"/>
          </w:tcPr>
          <w:p>
            <w:r>
              <w:t xml:space="preserve">High-Volume, Loss-Making Customers: customers with high order volume but net negative profit.</w:t>
            </w:r>
          </w:p>
        </w:tc>
      </w:tr>
      <w:tr>
        <w:tc>
          <w:tcPr>
            <w:tcW w:type="dxa" w:w="1500"/>
          </w:tcPr>
          <w:p>
            <w:r>
              <w:t xml:space="preserve">Python Q5</w:t>
            </w:r>
          </w:p>
        </w:tc>
        <w:tc>
          <w:tcPr>
            <w:tcW w:type="dxa" w:w="7600"/>
          </w:tcPr>
          <w:p>
            <w:r>
              <w:t xml:space="preserve">Customer RFM Segmentation: Recency, Frequency, Monetary segmentation of the customer base.</w:t>
            </w:r>
          </w:p>
        </w:tc>
      </w:tr>
    </w:tbl>
    <w:p>
      <w:pPr>
        <w:pStyle w:val="Heading1"/>
        <w:spacing w:after="150" w:before="300"/>
      </w:pPr>
      <w:r>
        <w:t xml:space="preserve">Extra Operational Angles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0"/>
      </w:tblGrid>
      <w:tr>
        <w:trPr>
          <w:tblHeader/>
        </w:trPr>
        <w:tc>
          <w:tcPr>
            <w:tcW w:type="dxa" w:w="1500"/>
            <w:shd w:fill="1F4E5F" w:color="auto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600"/>
            <w:shd w:fill="1F4E5F" w:color="auto" w:val="clear"/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</w:tr>
      <w:tr>
        <w:tc>
          <w:tcPr>
            <w:tcW w:type="dxa" w:w="1500"/>
          </w:tcPr>
          <w:p>
            <w:r>
              <w:t xml:space="preserve">MySQL Q5</w:t>
            </w:r>
          </w:p>
        </w:tc>
        <w:tc>
          <w:tcPr>
            <w:tcW w:type="dxa" w:w="7600"/>
          </w:tcPr>
          <w:p>
            <w:r>
              <w:t xml:space="preserve">Monthly Margin Divergence: using LAG, find months where revenue rose but profit fell.</w:t>
            </w:r>
          </w:p>
        </w:tc>
      </w:tr>
      <w:tr>
        <w:tc>
          <w:tcPr>
            <w:tcW w:type="dxa" w:w="1500"/>
          </w:tcPr>
          <w:p>
            <w:r>
              <w:t xml:space="preserve">MySQL Q6</w:t>
            </w:r>
          </w:p>
        </w:tc>
        <w:tc>
          <w:tcPr>
            <w:tcW w:type="dxa" w:w="7600"/>
          </w:tcPr>
          <w:p>
            <w:r>
              <w:t xml:space="preserve">Ship Mode Fulfillment Efficiency: profit and margin by shipping mode.</w:t>
            </w:r>
          </w:p>
        </w:tc>
      </w:tr>
    </w:tbl>
    <w:p>
      <w:pPr>
        <w:pStyle w:val="Heading1"/>
        <w:spacing w:after="150" w:before="300"/>
      </w:pPr>
      <w:r>
        <w:t xml:space="preserve">Root Cause + Recommendation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0"/>
      </w:tblGrid>
      <w:tr>
        <w:trPr>
          <w:tblHeader/>
        </w:trPr>
        <w:tc>
          <w:tcPr>
            <w:tcW w:type="dxa" w:w="1500"/>
            <w:shd w:fill="1F4E5F" w:color="auto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600"/>
            <w:shd w:fill="1F4E5F" w:color="auto" w:val="clear"/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</w:tr>
      <w:tr>
        <w:tc>
          <w:tcPr>
            <w:tcW w:type="dxa" w:w="1500"/>
          </w:tcPr>
          <w:p>
            <w:r>
              <w:t xml:space="preserve">Python Q4</w:t>
            </w:r>
          </w:p>
        </w:tc>
        <w:tc>
          <w:tcPr>
            <w:tcW w:type="dxa" w:w="7600"/>
          </w:tcPr>
          <w:p>
            <w:r>
              <w:t xml:space="preserve">Discount Cap Scenario: recalculate profit if discounts had been capped at set thresholds (e.g. 15%, 20%, 25%); quantify recoverable profit.</w:t>
            </w:r>
          </w:p>
        </w:tc>
      </w:tr>
      <w:tr>
        <w:tc>
          <w:tcPr>
            <w:tcW w:type="dxa" w:w="1500"/>
          </w:tcPr>
          <w:p>
            <w:r>
              <w:t xml:space="preserve">Python Q6</w:t>
            </w:r>
          </w:p>
        </w:tc>
        <w:tc>
          <w:tcPr>
            <w:tcW w:type="dxa" w:w="7600"/>
          </w:tcPr>
          <w:p>
            <w:r>
              <w:t xml:space="preserve">Pareto 80/20 Analysis: how concentrated is profit and loss across products/customers (80/20 rule).</w:t>
            </w:r>
          </w:p>
        </w:tc>
      </w:tr>
    </w:tbl>
    <w:p>
      <w:pPr>
        <w:pStyle w:val="Heading1"/>
        <w:spacing w:after="150" w:before="300"/>
      </w:pPr>
      <w:r>
        <w:t xml:space="preserve">Summary</w:t>
      </w:r>
    </w:p>
    <w:p>
      <w:pPr>
        <w:spacing w:after="120"/>
      </w:pPr>
      <w:r>
        <w:t xml:space="preserve">Total: 6 MySQL-logic questions + 6 Python questions = 12 questions across 5 dives plus a final root-cause and recommendation stage. Each question follows the evidence-first, in-depth output standard defined in the Project Roadmap.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2026-08-31T14:13:12.651Z</dcterms:created>
  <dcterms:modified xsi:type="dcterms:W3CDTF">2026-08-31T14:13:12.652Z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