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MBA program comparison - rough notes</w:t>
      </w:r>
    </w:p>
    <w:p/>
    <w:p>
      <w:r>
        <w:rPr>
          <w:sz w:val="22"/>
        </w:rPr>
        <w:t>Working draft, last updated April 2026</w:t>
      </w:r>
    </w:p>
    <w:p>
      <w:r>
        <w:rPr>
          <w:sz w:val="22"/>
        </w:rPr>
      </w:r>
    </w:p>
    <w:p>
      <w:r>
        <w:rPr>
          <w:sz w:val="22"/>
        </w:rPr>
        <w:t>Ohio State Fisher (online MBA):</w:t>
      </w:r>
    </w:p>
    <w:p>
      <w:r>
        <w:rPr>
          <w:sz w:val="22"/>
        </w:rPr>
        <w:t xml:space="preserve">  Total tuition (in-state): approx $52,400</w:t>
      </w:r>
    </w:p>
    <w:p>
      <w:r>
        <w:rPr>
          <w:sz w:val="22"/>
        </w:rPr>
        <w:t xml:space="preserve">  Duration: 24 months</w:t>
      </w:r>
    </w:p>
    <w:p>
      <w:r>
        <w:rPr>
          <w:sz w:val="22"/>
        </w:rPr>
        <w:t xml:space="preserve">  Application window: rolling, next deadline July 1</w:t>
      </w:r>
    </w:p>
    <w:p>
      <w:r>
        <w:rPr>
          <w:sz w:val="22"/>
        </w:rPr>
        <w:t xml:space="preserve">  Pros: in-state cost, Columbus alum network, schedule fits remote Mon/Fri</w:t>
      </w:r>
    </w:p>
    <w:p>
      <w:r>
        <w:rPr>
          <w:sz w:val="22"/>
        </w:rPr>
        <w:t xml:space="preserve">  Cons: less prestige than national programs</w:t>
      </w:r>
    </w:p>
    <w:p>
      <w:r>
        <w:rPr>
          <w:sz w:val="22"/>
        </w:rPr>
      </w:r>
    </w:p>
    <w:p>
      <w:r>
        <w:rPr>
          <w:sz w:val="22"/>
        </w:rPr>
        <w:t>Indiana Kelley (online MBA):</w:t>
      </w:r>
    </w:p>
    <w:p>
      <w:r>
        <w:rPr>
          <w:sz w:val="22"/>
        </w:rPr>
        <w:t xml:space="preserve">  Total tuition: approx $74,560</w:t>
      </w:r>
    </w:p>
    <w:p>
      <w:r>
        <w:rPr>
          <w:sz w:val="22"/>
        </w:rPr>
        <w:t xml:space="preserve">  Duration: 24 months</w:t>
      </w:r>
    </w:p>
    <w:p>
      <w:r>
        <w:rPr>
          <w:sz w:val="22"/>
        </w:rPr>
        <w:t xml:space="preserve">  Application window: three rounds per year</w:t>
      </w:r>
    </w:p>
    <w:p>
      <w:r>
        <w:rPr>
          <w:sz w:val="22"/>
        </w:rPr>
        <w:t xml:space="preserve">  Pros: stronger national brand, marketing concentration is well-regarded</w:t>
      </w:r>
    </w:p>
    <w:p>
      <w:r>
        <w:rPr>
          <w:sz w:val="22"/>
        </w:rPr>
        <w:t xml:space="preserve">  Cons: higher cost, less local alumni density in Columbus</w:t>
      </w:r>
    </w:p>
    <w:p>
      <w:r>
        <w:rPr>
          <w:sz w:val="22"/>
        </w:rPr>
      </w:r>
    </w:p>
    <w:p>
      <w:r>
        <w:rPr>
          <w:sz w:val="22"/>
        </w:rPr>
        <w:t>Carnegie Mellon Tepper (online MBA):</w:t>
      </w:r>
    </w:p>
    <w:p>
      <w:r>
        <w:rPr>
          <w:sz w:val="22"/>
        </w:rPr>
        <w:t xml:space="preserve">  Total tuition: approx $156,300</w:t>
      </w:r>
    </w:p>
    <w:p>
      <w:r>
        <w:rPr>
          <w:sz w:val="22"/>
        </w:rPr>
        <w:t xml:space="preserve">  Duration: 32 months</w:t>
      </w:r>
    </w:p>
    <w:p>
      <w:r>
        <w:rPr>
          <w:sz w:val="22"/>
        </w:rPr>
        <w:t xml:space="preserve">  Application window: four rounds per year</w:t>
      </w:r>
    </w:p>
    <w:p>
      <w:r>
        <w:rPr>
          <w:sz w:val="22"/>
        </w:rPr>
        <w:t xml:space="preserve">  Pros: top-tier brand, strong analytics curriculum</w:t>
      </w:r>
    </w:p>
    <w:p>
      <w:r>
        <w:rPr>
          <w:sz w:val="22"/>
        </w:rPr>
        <w:t xml:space="preserve">  Cons: cost, schedule intensity</w:t>
      </w:r>
    </w:p>
    <w:p>
      <w:r>
        <w:rPr>
          <w:sz w:val="22"/>
        </w:rPr>
      </w:r>
    </w:p>
    <w:p>
      <w:r>
        <w:rPr>
          <w:sz w:val="22"/>
        </w:rPr>
        <w:t>Crestline sponsorship pitch: aim for partial reimbursement linked to a 3-year retention window post-completion. Realistic ask: 50% tuition reimbursement, capped at $40K total. Talk track for Tom: tie to Q4 benchmarking deliverable, frame as analytics rigor investment.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