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Qwen3.5-text-2B, Qwen3.5-text-4B,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two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(allenai/xstest-response,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XSTest is the canonical over-refusal benchmark; the benign-only subset of the allenai/xstest-response dataset is used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checkpoints under the techwithsergiu namespace and require no authentication. The Llama pair, by contrast, uses meta-llama/Llama-3.2-3B-Instruct, which is gated under the Meta Llama community license. Access requires a Hugging Face account to have accepted the relevant model license and a personal access token to be available on TC1. The token is registered once on the head node via huggingface-cli login, which writes to ~/.cache/huggingface/token; subsequent SLURM jobs inherit this token through the shared home directory mount.</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huggingface-cli login has registered the user's HF token: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huggingface-cli login                # one-time, for Llama gating</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three datasets (HarmBench, XSTest, and the six MMLU subjects, approximately ten megabytes total) and three model repositories (Qwen 2B, Qwen 4B, Llama 3.2 3B, totalling approximately twenty gigabytes).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fifteen-minute walltime, qwen_2b_base on HarmBench) to verify that the offline-cache path works end-to-end on a real compute node. Per the user guide's guidance to prefer sbatch over srun, this smoke verification is performed as a regular SLURM job rather than an interactive session. Only after the smoke job produces a clean summary.json is the full six-job matrix submitted.</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smoke profiling on local hardware suggests that the per-model matrix is likely to complete in two to four hours on a single Tesla V100 32 GB at the configured sample budgets, leaving substantial headroom for unexpected slowdowns.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techwithsergiu Qwen baselines are text-only derivatives of a multimodal Qwen series produced by removing the visual tower. Results therefore describe quantization behaviour on that specific weight provenance and may not transfer perfectly to the official Qwen 2.5 or Qwen 3 instruction checkpoints that are more commonly deployed in production.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400 prompts per safety benchmark, binomial-proportion confidence intervals are approximately ±5 percentage points wide;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Llama gated access. The Llama 3.2 3B pair depends on accepted gating on Hugging Face and a valid token available to the TC1 environment. Without this, the cross-family component of the study cannot run.</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cluster submission. Three pairs (Qwen 2B, Qwen 4B, and Llama 3.2 3B) are configured, six sbatch files have been generated, and the only remaining preconditions are confirmation of Hugging Face gating for the Llama pair and submission of the six jobs to TC1.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allenai/xstest-response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FYP_Report_2026-05-23.docx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2026-05-26T16:31:23.875Z</dcterms:created>
  <dcterms:modified xsi:type="dcterms:W3CDTF">2026-05-26T16:31:23.876Z</dcterms:modified>
</cp:coreProperties>
</file>

<file path=docProps/custom.xml><?xml version="1.0" encoding="utf-8"?>
<Properties xmlns="http://schemas.openxmlformats.org/officeDocument/2006/custom-properties" xmlns:vt="http://schemas.openxmlformats.org/officeDocument/2006/docPropsVTypes"/>
</file>