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 with one caveat: the configs do not pin a Hugging Face revision for the model weights, so a from-scratch re-execution fetches whatever revision is current at that date rather than the exact snapshots cached on TC1 at the recorded run dates (Chapter 8);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[22], [23]. Two further residual caveats: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Model weights not commit-pinned. The configuration schema exposes an optional revision field (a Hugging Face commit pin, Appendix C), but the study's configs load every model at the repository head current at fetch time. The weights actually used are those cached on TC1 at the recorded run dates; a from-scratch reproduction on a later date would re-fetch whatever revision is then current, which for a re-uploaded checkpoint need not be byte-identical. Within the study this does not affect any matched-pair delta (both members of every pair load the same cached snapshot), but exact external reproduction requires pinning the revisions of the five model repositories.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2026-07-07T18:45:56.897Z</dcterms:created>
  <dcterms:modified xsi:type="dcterms:W3CDTF">2026-07-07T18:45:56.898Z</dcterms:modified>
</cp:coreProperties>
</file>

<file path=docProps/custom.xml><?xml version="1.0" encoding="utf-8"?>
<Properties xmlns="http://schemas.openxmlformats.org/officeDocument/2006/custom-properties" xmlns:vt="http://schemas.openxmlformats.org/officeDocument/2006/docPropsVTypes"/>
</file>