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Comprehensive Project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Matched-Pair, Judge-Validated Study of Safety, Capability Trade-offs in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 July 2026</w:t>
      </w:r>
    </w:p>
    <w:p>
      <w:pPr>
        <w:spacing w:after="100"/>
        <w:jc w:val="center"/>
      </w:pPr>
      <w:r>
        <w:rPr>
          <w:rFonts w:ascii="Calibri" w:cs="Calibri" w:eastAsia="Calibri" w:hAnsi="Calibri"/>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a shorter Interim Report (milestone deliverable, docs/FYP_Interim) and a condensed, IEEE-cited standalone Thesis (docs/FYP_Thesis).</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are almost always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00"/>
        <w:jc w:val="both"/>
      </w:pPr>
      <w:r>
        <w:rPr>
          <w:rFonts w:ascii="Calibri" w:cs="Calibri" w:eastAsia="Calibri" w:hAnsi="Calibri"/>
          <w:sz w:val="22"/>
          <w:szCs w:val="22"/>
        </w:rPr>
        <w:t xml:space="preserve">The design loads the baseline and quantized members of each pair from identical weights, applying quantization on the fly, so quantization is the only variable. Five pairs across four families (Qwen, Llama, Mistral, Phi; 1.7 to 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the disagreement is one-directional over-counting), so both which model looks least safe and whether any model looks significantly less safe at all depend on the scorer. Replacing the regex with HarmBench's own fine-tuned classifier, cross-checked by a second, architecturally independent judge at Cohen's κ 0.68 to 0.95, removes that over-counting; refusal-counting therefore overstates quantization harm, a cautionary result for safety evaluation generally.</w:t>
      </w:r>
    </w:p>
    <w:p>
      <w:pPr>
        <w:spacing w:after="160" w:line="300"/>
        <w:jc w:val="both"/>
      </w:pPr>
      <w:r>
        <w:rPr>
          <w:rFonts w:ascii="Calibri" w:cs="Calibri" w:eastAsia="Calibri" w:hAnsi="Calibri"/>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no evaluated pair shows a significant harmful-compliance change under four-bit NF4 once a Benjamini-Hochberg correction is applied over the family of primary contrasts: not one HarmBench attack-success-rate contrast survives multiplicity control, whereas the surviving effects are capability losses (MMLU, ARC) and a single over-refusal decrease, and that over-refusal decrease is itself scorer-dependent: an independent three-class refusal judge does not reproduce it (§6.12).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capability loss is a clean cliff at four-bit,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Figure 1  Quantization effect on harmful compliance (per-pair judge ΔASR forest plot).</w:t>
      </w:r>
    </w:p>
    <w:p>
      <w:pPr>
        <w:spacing w:after="60" w:line="300"/>
      </w:pPr>
      <w:r>
        <w:rPr>
          <w:rFonts w:ascii="Calibri" w:cs="Calibri" w:eastAsia="Calibri" w:hAnsi="Calibri"/>
          <w:sz w:val="22"/>
          <w:szCs w:val="22"/>
        </w:rPr>
        <w:t xml:space="preserve">Figure 2  The capability-anchored safety space (ΔMMLU vs judge ΔASR, with label regions).</w:t>
      </w:r>
    </w:p>
    <w:p>
      <w:pPr>
        <w:spacing w:after="60" w:line="300"/>
      </w:pPr>
      <w:r>
        <w:rPr>
          <w:rFonts w:ascii="Calibri" w:cs="Calibri" w:eastAsia="Calibri" w:hAnsi="Calibri"/>
          <w:sz w:val="22"/>
          <w:szCs w:val="22"/>
        </w:rPr>
        <w:t xml:space="preserve">Figure 3  Multi-seed decoding sensitivity for Qwen3-1.7B (greedy vs stochastic).</w:t>
      </w:r>
    </w:p>
    <w:p>
      <w:pPr>
        <w:spacing w:after="60" w:line="300"/>
      </w:pPr>
      <w:r>
        <w:rPr>
          <w:rFonts w:ascii="Calibri" w:cs="Calibri" w:eastAsia="Calibri" w:hAnsi="Calibri"/>
          <w:sz w:val="22"/>
          <w:szCs w:val="22"/>
        </w:rPr>
        <w:t xml:space="preserve">Figure 4  Per-category HarmBench ASR for Qwen3-1.7B, fp16 vs NF4.</w:t>
      </w:r>
    </w:p>
    <w:p>
      <w:pPr>
        <w:spacing w:after="60" w:line="300"/>
      </w:pPr>
      <w:r>
        <w:rPr>
          <w:rFonts w:ascii="Calibri" w:cs="Calibri" w:eastAsia="Calibri" w:hAnsi="Calibri"/>
          <w:sz w:val="22"/>
          <w:szCs w:val="22"/>
        </w:rPr>
        <w:t xml:space="preserve">Figure 5  Scorer validation: judge ASR vs regex proxy, and judge-vs-proxy Cohen's κ.</w:t>
      </w:r>
    </w:p>
    <w:p>
      <w:pPr>
        <w:spacing w:after="60" w:line="300"/>
      </w:pPr>
      <w:r>
        <w:rPr>
          <w:rFonts w:ascii="Calibri" w:cs="Calibri" w:eastAsia="Calibri" w:hAnsi="Calibri"/>
          <w:sz w:val="22"/>
          <w:szCs w:val="22"/>
        </w:rPr>
        <w:t xml:space="preserve">Figure 6  Precision sweep fp16 → INT8 → NF4 (HarmBench ASR, MMLU, ARC).</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five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can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Calibri" w:cs="Calibri" w:eastAsia="Calibri" w:hAnsi="Calibri"/>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 to 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Calibri" w:cs="Calibri" w:eastAsia="Calibri" w:hAnsi="Calibri"/>
          <w:sz w:val="22"/>
          <w:szCs w:val="22"/>
        </w:rPr>
        <w:t xml:space="preserve">An open, reproducible benchmarking framework (approximately 8,900 lines of production Python and 4,600 lines of automated tests; 339 tests across twenty-six files) with batched chat-templated generation, per-prompt audit logging, immutable hash-pinned raw artefacts, redacted score sidecars, and resumable per-model SLURM matrix jobs for the NTU TC1 cluster.</w:t>
      </w:r>
    </w:p>
    <w:p>
      <w:pPr>
        <w:pStyle w:val="ListParagraph"/>
        <w:numPr>
          <w:ilvl w:val="0"/>
          <w:numId w:val="3"/>
        </w:numPr>
        <w:spacing w:after="80" w:line="280"/>
      </w:pPr>
      <w:r>
        <w:rPr>
          <w:rFonts w:ascii="Calibri" w:cs="Calibri" w:eastAsia="Calibri" w:hAnsi="Calibri"/>
          <w:sz w:val="22"/>
          <w:szCs w:val="22"/>
        </w:rPr>
        <w:t xml:space="preserve">An empirical characterisation of quantization across five model pairs, four families, and three precisions (fp16 → INT8 → NF4): under the validated classifier at the 512-token reference budget, no pair shows a significant harmful-compliance change under four-bit NF4 after a multiplicity correction, the multiplicity-robust signal is capability loss rather than safety change,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 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Eight appendices reproduce the full configuration, an example SLURM script, the configuration schema, the test inventory, the repository layout, and a glossary, and record the document revision history and the scoring-methodology correction record.</w:t>
      </w:r>
    </w:p>
    <w:p>
      <w:pPr>
        <w:pStyle w:val="Heading1"/>
        <w:pageBreakBefore/>
        <w:spacing w:after="200" w:before="360"/>
      </w:pPr>
      <w:r>
        <w:rPr>
          <w:rFonts w:ascii="Calibri" w:cs="Calibri" w:eastAsia="Calibri" w:hAnsi="Calibri"/>
          <w:b/>
          <w:bCs/>
          <w:sz w:val="32"/>
          <w:szCs w:val="32"/>
        </w:rPr>
        <w:t xml:space="preserve">Chapter 2: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influenced what counts as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 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this study's headline, Hong et al. [16] scrutinise trustworthiness across five compression methods and eight trust dimensions and find that 4-bit quantization broadly preserves trustworthiness (unlike pruning, which degrades it, and unlike the more extreme 3-bit setting, where erosion appears); this is the nearest prior analogue to the null-safety-at-four-bit picture found here, 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 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form the primary controlled design. The Qwen pairs at 1.7 billion and four billion parameters [17] are the primary within-family comparison and provide both a quantization axis and a scale axis. The Llama 3.2 3B pair [18] sits between them by parameter count and is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1,172 questions</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00"/>
        <w:jc w:val="both"/>
      </w:pPr>
      <w:r>
        <w:rPr>
          <w:rFonts w:ascii="Calibri" w:cs="Calibri" w:eastAsia="Calibri" w:hAnsi="Calibri"/>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the weakest threat model in the HarmBench taxonomy, equivalent to its DirectRequest baseline,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Calibri" w:cs="Calibri" w:eastAsia="Calibri" w:hAnsi="Calibri"/>
          <w:b/>
          <w:bCs/>
          <w:sz w:val="26"/>
          <w:szCs w:val="26"/>
        </w:rPr>
        <w:t xml:space="preserve">3.5 Scoring: Refusal Detection and the HarmBench Classifier</w:t>
      </w:r>
    </w:p>
    <w:p>
      <w:pPr>
        <w:spacing w:after="160" w:line="300"/>
        <w:jc w:val="both"/>
      </w:pPr>
      <w:r>
        <w:rPr>
          <w:rFonts w:ascii="Calibri" w:cs="Calibri" w:eastAsia="Calibri" w:hAnsi="Calibri"/>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rather than avoided: it is run at full precision, with greedy decoding, over the immutable saved generations, and writes only redacted sidecars.</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instead keeps deterministic regex parsing, a deliberate, reproducibility-motivated deviation that yields a coarser binary (refusal / non-refusal) construct. That deviation is now cross-checked with exactly such an LLM three-class refusal judge, run as a sensitivity layer (§6.12, Result 6): the check finds the one multiplicity-robust over-refusal contrast to be scorer-dependent, and a human-labelled refusal gold set remains the residual strengthening acknowledged in the Limitations chapter.</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512-token reference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XSTest over-refusal, MMLU, and ARC, in the multiple-comparisons analysis (results_512/analysis/multiple_comparisons.json; §6.5.1), and where the bootstrap CI and the exact test disagree at the margin, the exact test is taken as the significance criterion and such a delta would be reported as borderline. At the corrected over-refusal scoring no contrast in the study now sits in that margin: the previously borderline Qwen3-1.7B over-refusal decrease resolves to non-significant on both criteria (−0.024; bootstrap CI [−0.048, 0.000] now touches zero and McNemar's exact p = 0.109 on 11 discordant prompts).</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core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tightly constrained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339 automated tests across twenty-six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339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 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339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 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so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 to 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one sbatch file per model alias,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The cross-family extension (run on TC1 on 2026-06-15; results in §6.13) added four more matrix scripts of the same form, mistral_7b_{base,4bit}__matrix.sbatch and phi4_mini_{base,4bit}__matrix.sbatch,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the revision field on every model entry in configs/tc1.yaml and configs/tc1_512.yaml, set to the exact snapshots used on TC1,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gitignored and hash-pinned in results/raw_artifact_manifest.sha256,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Calibri" w:cs="Calibri" w:eastAsia="Calibri" w:hAnsi="Calibri"/>
          <w:b/>
          <w:bCs/>
          <w:sz w:val="32"/>
          <w:szCs w:val="32"/>
        </w:rPr>
        <w:t xml:space="preserve">Chapter 6: Results and Analysis</w:t>
      </w:r>
    </w:p>
    <w:p>
      <w:pPr>
        <w:spacing w:after="160" w:line="300"/>
        <w:jc w:val="both"/>
      </w:pPr>
      <w:r>
        <w:rPr>
          <w:rFonts w:ascii="Calibri" w:cs="Calibri" w:eastAsia="Calibri" w:hAnsi="Calibri"/>
          <w:sz w:val="22"/>
          <w:szCs w:val="22"/>
        </w:rPr>
        <w:t xml:space="preserve">All six original experimental runs completed successfully on the NTU TC1 GPU cluster on 2026-05-27 (SLURM jobs 60976 to 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 to 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A delta is marked statistically significant when its 95% CI excludes zero AND McNemar's exact paired test (§3.7) agrees at p &lt; 0.05; at the corrected over-refusal scoring no contrast has the two criteria disagreeing, the previously borderline Qwen3-1.7B over-refusal decrease is now non-significant on both, CI [−0.048, 0.000] and McNemar p = 0.109 on 11 discordant prompts.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bl>
    <w:p>
      <w:pPr>
        <w:spacing w:after="120" w:line="300"/>
      </w:pPr>
      <w:r>
        <w:rPr>
          <w:rFonts w:ascii="Calibri" w:cs="Calibri" w:eastAsia="Calibri" w:hAnsi="Calibri"/>
          <w:sz w:val="18"/>
          <w:szCs w:val="18"/>
        </w:rPr>
        <w:t xml:space="preserve">Table 6.1  Complete per-pair results with paired bootstrap 95% CIs on the deltas. "Sig?" = the CI excludes zero and McNemar's exact paired test agrees (p &lt; 0.05); at the corrected over-refusal scoring no contrast sits in the borderline margin where the CI excludes zero but the exact test does not (Qwen3-1.7B's over-refusal decrease is now non-significant on both,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no pair shows a significant increase. Source: results_512/analysis/judge_agreement.json.</w:t>
      </w:r>
    </w:p>
    <w:p>
      <w:pPr>
        <w:spacing w:after="160" w:line="300"/>
        <w:jc w:val="both"/>
      </w:pPr>
      <w:r>
        <w:rPr>
          <w:rFonts w:ascii="Calibri" w:cs="Calibri" w:eastAsia="Calibri" w:hAnsi="Calibri"/>
          <w:sz w:val="22"/>
          <w:szCs w:val="22"/>
        </w:rPr>
        <w:t xml:space="preserve">Under the primary (judge) scorer at the 512-token reference budget, the HarmBench deltas tell a uniform story: no pair's attack-success rate increases significantly, and the only ΔASR whose 95% CI excludes zero is Llama-3.2-3B's, at −0.040,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now touches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 Hochberg control over the family of primary contrasts, no HarmBench ASR contrast survives at all, and the three surviving effects are all capability or over-refusal changes. Every XSTest over-refusal delta is non-significant or points downward, the one significant delta (Phi, −0.048) is a decrease and no delta is borderline,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Qwen3-1.7B's Δover-refusal is non-significant on both criteria (McNemar p = 0.109; §3.7) and no delta is borderline. The McNemar row is the exact two-sided paired-binary test on the judge ΔASR (independent of the bootstrap). Under the judge at the 512-token reference budget, the ★ deltas are Llama-3.2-3B ΔASR (−0.040, a decrease; McNemar p = 0.021,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00"/>
        <w:jc w:val="both"/>
      </w:pPr>
      <w:r>
        <w:rPr>
          <w:rFonts w:ascii="Calibri" w:cs="Calibri" w:eastAsia="Calibri" w:hAnsi="Calibri"/>
          <w:sz w:val="22"/>
          <w:szCs w:val="22"/>
        </w:rPr>
        <w:t xml:space="preserve">Table 6.2 shows a large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on this benchmark, scale is the single largest predictor of capability preservation under quantization observed in this study. This 30:1 ratio is, however, specific to MMLU: the ARC-Challenge second capability benchmark (§6.4.1) does not reproduce it (there the 4B pair loses marginally more, −1.6 pp, than the 1.7B pair, −0.9 pp) so scale-as-predictor-of-capability-preservation should be read as an MMLU-specific result rather than a benchmark-independent law.</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0.052 to 0.028,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Qwen3-1.7B's decrease is now non-significant (McNemar p = 0.109); no delta is borderline.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Calibri" w:cs="Calibri" w:eastAsia="Calibri" w:hAnsi="Calibri"/>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Calibri" w:cs="Calibri" w:eastAsia="Calibri" w:hAnsi="Calibri"/>
          <w:sz w:val="22"/>
          <w:szCs w:val="22"/>
        </w:rPr>
        <w:t xml:space="preserve">Broad degradation: fallback.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Calibri" w:cs="Calibri" w:eastAsia="Calibri" w:hAnsi="Calibri"/>
          <w:b/>
          <w:bCs/>
          <w:sz w:val="24"/>
          <w:szCs w:val="24"/>
        </w:rPr>
        <w:t xml:space="preserve">6.4.1 Capability robustness check: the ARC-Challenge second benchmark</w:t>
      </w:r>
    </w:p>
    <w:p>
      <w:pPr>
        <w:spacing w:after="160" w:line="300"/>
        <w:jc w:val="both"/>
      </w:pPr>
      <w:r>
        <w:rPr>
          <w:rFonts w:ascii="Calibri" w:cs="Calibri" w:eastAsia="Calibri" w:hAnsi="Calibri"/>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the exception is Mistral-7B, whose ARC moves +0.9 pp (non-significant) in the improving direction. The magnitude and significance, however, diverge informatively. Qwen 1.7B, which loses a large, significant 9.0 pp on MMLU, loses only 0.9 pp on ARC (not significant), so the severe MMLU figure is substantially MMLU-specific (a subset-content sensitivity; the answer-format truncation that partly explained it at 128 tokens is resolved at the 512-token primary budget, Chapter 8), and the capability half of the 1.7B degradation is correspondingly milder than MMLU alone implies.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Mistral and Phi show directionally consistent but individually non-significant capability changes. The capability cost is therefore robust in aggregate (it supplies two of the three FDR survivors, Qwen 1.7B MMLU and Llama ARC; the third is Phi's over-refusal decrease, §6.5.1) without being uniformly significant per pair. Second, the dramatic within-Qwen scale gap under MMLU (the ≈30:1 ratio, §6.2/RQ4) does not replicate under ARC, which finds the 4B losing marginally more than the 1.7B; the strong 'smaller model is far more capability-sensitive' claim is therefore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the artifact records evidence_status = directional and that is the claim carried here), Qwen 4B is directional, and the cross-family pairs (§6.13) are directional (Mistral) and null (Phi). Third, the MMLU subset comprises 300 questions pooled across six subjects; subject counts are uneven (25 to 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scored by an identical protocol for both pair members and not subject to this format asymmetry, moves in the same (negative) direction (−0.009, not significant), corroborating the direction of the capability loss while indicating that its MMLU magnitude is partly parser-inflated.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An independent three-class refusal judge (§6.12, Result 6) makes this concrete: it does not reproduce the −0.048 decrease (judge ΔOR +0.016 strict / −0.004 broad, both non-significant) and agrees with the regex only poorly-to-moderately on benign over-refusal (Cohen κ ≤ 0.50), so this contrast is scorer-dependent.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Calibri" w:cs="Calibri" w:eastAsia="Calibri" w:hAnsi="Calibri"/>
          <w:b/>
          <w:bCs/>
          <w:sz w:val="24"/>
          <w:szCs w:val="24"/>
        </w:rPr>
        <w:t xml:space="preserve">6.5.1 Multiple-comparison correction and statistical power</w:t>
      </w:r>
    </w:p>
    <w:p>
      <w:pPr>
        <w:spacing w:after="160" w:line="300"/>
        <w:jc w:val="both"/>
      </w:pPr>
      <w:r>
        <w:rPr>
          <w:rFonts w:ascii="Calibri" w:cs="Calibri" w:eastAsia="Calibri" w:hAnsi="Calibri"/>
          <w:sz w:val="22"/>
          <w:szCs w:val="22"/>
        </w:rPr>
        <w:t xml:space="preserve">This section reports the corrected view rather than only acknowledging the multiplicity problem.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The two capability survivors are classifier- and human-anchored, but the over-refusal survivor rests on the demoted refusal regex and is scorer-dependent: an independent three-class refusal judge does not reproduce Phi's −0.048 decrease (judge ΔOR +0.016 strict / −0.004 broad, both non-significant; §6.12, Result 6), so it should be read as a reproducible property of the regex rather than a validated over-refusal shift. Not one HarmBench ASR contrast survives the correction at the 512-token reference budget,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00"/>
        <w:jc w:val="both"/>
      </w:pPr>
      <w:r>
        <w:rPr>
          <w:rFonts w:ascii="Calibri" w:cs="Calibri" w:eastAsia="Calibri" w:hAnsi="Calibri"/>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Calibri" w:cs="Calibri" w:eastAsia="Calibri" w:hAnsi="Calibri"/>
          <w:b/>
          <w:bCs/>
          <w:sz w:val="26"/>
          <w:szCs w:val="26"/>
        </w:rPr>
        <w:t xml:space="preserve">6.6 Observations: Qwen3-1.7B Pair (pair_id qwen_2b)</w:t>
      </w:r>
    </w:p>
    <w:p>
      <w:pPr>
        <w:spacing w:after="160" w:line="300"/>
        <w:jc w:val="both"/>
      </w:pPr>
      <w:r>
        <w:rPr>
          <w:rFonts w:ascii="Calibri" w:cs="Calibri" w:eastAsia="Calibri" w:hAnsi="Calibri"/>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00"/>
        <w:jc w:val="both"/>
      </w:pPr>
      <w:r>
        <w:rPr>
          <w:rFonts w:ascii="Calibri" w:cs="Calibri" w:eastAsia="Calibri" w:hAnsi="Calibri"/>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00"/>
        <w:jc w:val="both"/>
      </w:pPr>
      <w:r>
        <w:rPr>
          <w:rFonts w:ascii="Calibri" w:cs="Calibri" w:eastAsia="Calibri" w:hAnsi="Calibri"/>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but here both scorers agree the harm axis does not move under quantization for this pair.</w:t>
      </w:r>
    </w:p>
    <w:p>
      <w:pPr>
        <w:spacing w:after="160" w:line="300"/>
        <w:jc w:val="both"/>
      </w:pPr>
      <w:r>
        <w:rPr>
          <w:rFonts w:ascii="Calibri" w:cs="Calibri" w:eastAsia="Calibri" w:hAnsi="Calibri"/>
          <w:sz w:val="22"/>
          <w:szCs w:val="22"/>
        </w:rPr>
        <w:t xml:space="preserve">The XSTest over-refusal rate declined (0.052 → 0.028, ΔOR = −0.024), a non-significant effect: the bootstrap CI [−0.048, 0.000] now touches zero, and McNemar's exact test on the 11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00"/>
        <w:jc w:val="both"/>
      </w:pPr>
      <w:r>
        <w:rPr>
          <w:rFonts w:ascii="Calibri" w:cs="Calibri" w:eastAsia="Calibri" w:hAnsi="Calibri"/>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00"/>
        <w:jc w:val="both"/>
      </w:pPr>
      <w:r>
        <w:rPr>
          <w:rFonts w:ascii="Calibri" w:cs="Calibri" w:eastAsia="Calibri" w:hAnsi="Calibri"/>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not Mistral or Phi) were re-run on HarmBench at a single fixed stochastic setting (temperature 0.7, top-p 0.8, Qwen3's published non-thinking recommendation, applied uniformly to all three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 of 5 seeds individually significant under McNemar's exact test, a directional non-null), and Llama has mean −0.024 with no positive seed in five (2 of 5 seeds individually significant, both decreases), matching its significant safety-improving primary decrease. Across all three pairs no pair is robustly positive. Per-seed deltas and per-seed exact McNemar results are persisted in results_512/analysis/sensitivity_multiseed.json (judge_delta.per_seed and n_seeds_significant_p05), so every per-seed claim in this section is asserted against a committed artifact; Mistral and Phi remain greedy-only, so a full-matrix stochastic estimate is still outstanding.</w:t>
      </w:r>
    </w:p>
    <w:p>
      <w:pPr>
        <w:pStyle w:val="Heading3"/>
        <w:spacing w:after="120" w:before="220"/>
      </w:pPr>
      <w:r>
        <w:rPr>
          <w:rFonts w:ascii="Calibri" w:cs="Calibri" w:eastAsia="Calibri" w:hAnsi="Calibri"/>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 to 58 prompts), so the rates are descriptive. Source: results_512/analysis/harmbench_category_breakdown.json.</w:t>
      </w:r>
    </w:p>
    <w:p>
      <w:pPr>
        <w:spacing w:after="160" w:line="300"/>
        <w:jc w:val="both"/>
      </w:pPr>
      <w:r>
        <w:rPr>
          <w:rFonts w:ascii="Calibri" w:cs="Calibri" w:eastAsia="Calibri" w:hAnsi="Calibri"/>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 to 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because the proxy over-counts;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Qwen3-4B Pair (pair_id qwen_4b)</w:t>
      </w:r>
    </w:p>
    <w:p>
      <w:pPr>
        <w:spacing w:after="160" w:line="300"/>
        <w:jc w:val="both"/>
      </w:pPr>
      <w:r>
        <w:rPr>
          <w:rFonts w:ascii="Calibri" w:cs="Calibri" w:eastAsia="Calibri" w:hAnsi="Calibri"/>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00"/>
        <w:jc w:val="both"/>
      </w:pPr>
      <w:r>
        <w:rPr>
          <w:rFonts w:ascii="Calibri" w:cs="Calibri" w:eastAsia="Calibri" w:hAnsi="Calibri"/>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0.115). XSTest over-refusal is essentially unchanged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 §6.11)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with Qwen 1.7B's over-refusal decrease (−0.024) now non-significant (bootstrap CI [−0.048, 0.000] touches zero, McNemar p = 0.109; §3.7). On the harmful-compliance axis, the only ΔASR whose CI excludes zero is Llama 3B's, at −0.040, a decrease, not an increase; no pair shows a significant ASR increase. Under Benjamini, 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Calibri" w:cs="Calibri" w:eastAsia="Calibri" w:hAnsi="Calibri"/>
          <w:b/>
          <w:bCs/>
          <w:sz w:val="24"/>
          <w:szCs w:val="24"/>
        </w:rPr>
        <w:t xml:space="preserve">RQ1: Does 4-bit NF4 quantization increase harmful compliance?</w:t>
      </w:r>
    </w:p>
    <w:p>
      <w:pPr>
        <w:spacing w:after="160" w:line="300"/>
        <w:jc w:val="both"/>
      </w:pPr>
      <w:r>
        <w:rPr>
          <w:rFonts w:ascii="Calibri" w:cs="Calibri" w:eastAsia="Calibri" w:hAnsi="Calibri"/>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Calibri" w:cs="Calibri" w:eastAsia="Calibri" w:hAnsi="Calibri"/>
          <w:b/>
          <w:bCs/>
          <w:sz w:val="24"/>
          <w:szCs w:val="24"/>
        </w:rPr>
        <w:t xml:space="preserve">RQ2: Does 4-bit NF4 quantization increase over-refusal on benign prompts?</w:t>
      </w:r>
    </w:p>
    <w:p>
      <w:pPr>
        <w:spacing w:after="160" w:line="300"/>
        <w:jc w:val="both"/>
      </w:pPr>
      <w:r>
        <w:rPr>
          <w:rFonts w:ascii="Calibri" w:cs="Calibri" w:eastAsia="Calibri" w:hAnsi="Calibri"/>
          <w:sz w:val="22"/>
          <w:szCs w:val="22"/>
        </w:rPr>
        <w:t xml:space="preserve">Across the five pairs, none moves significantly in the over-refusing direction and the only confirmed change is benign. Under the v2 scorer: Qwen3-1.7B ΔOR = −0.024 (0.052 → 0.028, not significant: bootstrap CI [−0.048, 0.000] touches zero, McNemar p = 0.109; §3.7), Qwen3-4B −0.004 (0.028 → 0.024, not significant), Llama 3B +0.016 (0.032 → 0.048, not significant), Mistral-7B 0.000 (0.004 → 0.004, not significant), and Phi-4-mini −0.048 (0.128 → 0.080, significant, McNemar p = 0.002). The one significant over-refusal delta (Phi, −0.048) is a decrease and Qwen 1.7B's decrease is now non-significant, both running in the benign direction: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Calibri" w:cs="Calibri" w:eastAsia="Calibri" w:hAnsi="Calibri"/>
          <w:b/>
          <w:bCs/>
          <w:sz w:val="24"/>
          <w:szCs w:val="24"/>
        </w:rPr>
        <w:t xml:space="preserve">RQ3: Does 4-bit NF4 quantization degrade general capability?</w:t>
      </w:r>
    </w:p>
    <w:p>
      <w:pPr>
        <w:spacing w:after="160" w:line="300"/>
        <w:jc w:val="both"/>
      </w:pPr>
      <w:r>
        <w:rPr>
          <w:rFonts w:ascii="Calibri" w:cs="Calibri" w:eastAsia="Calibri" w:hAnsi="Calibri"/>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 Hochberg correction) and Qwen 4B (−0.016, uncorrected only, it does not survive correction). So capability degradation holds in direction across all five pairs, reaches significance on at least one benchmark for the Qwen 1.7B, Qwen 4B and Llama pairs, and supplies two of the three effects that survive the Benjamini, 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Calibri" w:cs="Calibri" w:eastAsia="Calibri" w:hAnsi="Calibri"/>
          <w:b/>
          <w:bCs/>
          <w:sz w:val="24"/>
          <w:szCs w:val="24"/>
        </w:rPr>
        <w:t xml:space="preserve">RQ4: Are smaller models more sensitive to quantization within the same family?</w:t>
      </w:r>
    </w:p>
    <w:p>
      <w:pPr>
        <w:spacing w:after="160" w:line="300"/>
        <w:jc w:val="both"/>
      </w:pPr>
      <w:r>
        <w:rPr>
          <w:rFonts w:ascii="Calibri" w:cs="Calibri" w:eastAsia="Calibri" w:hAnsi="Calibri"/>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the earlier +0.055 on the 1.7B was a 128-token truncation artefact (§6.16). The answer to RQ4: smaller Qwen models are more sensitive to NF4 quantization on capability *as measured by MMLU*, but this is benchmark-dependent,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Calibri" w:cs="Calibri" w:eastAsia="Calibri" w:hAnsi="Calibri"/>
          <w:b/>
          <w:bCs/>
          <w:sz w:val="24"/>
          <w:szCs w:val="24"/>
        </w:rPr>
        <w:t xml:space="preserve">RQ5: Are effects consistent across model families?</w:t>
      </w:r>
    </w:p>
    <w:p>
      <w:pPr>
        <w:spacing w:after="160" w:line="300"/>
        <w:jc w:val="both"/>
      </w:pPr>
      <w:r>
        <w:rPr>
          <w:rFonts w:ascii="Calibri" w:cs="Calibri" w:eastAsia="Calibri" w:hAnsi="Calibri"/>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Calibri" w:cs="Calibri" w:eastAsia="Calibri" w:hAnsi="Calibri"/>
          <w:b/>
          <w:bCs/>
          <w:sz w:val="24"/>
          <w:szCs w:val="24"/>
        </w:rPr>
        <w:t xml:space="preserve">Discussion: What the full five-pair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supplies two of the three effects that survive multiplicity correction (the third is Phi's over-refusal decrease),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Llama-3.2-3B Pair (pair_id llama_3_2_3b)</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0.032,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 to 0.84; §6.12):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00"/>
        <w:jc w:val="both"/>
      </w:pPr>
      <w:r>
        <w:rPr>
          <w:rFonts w:ascii="Calibri" w:cs="Calibri" w:eastAsia="Calibri" w:hAnsi="Calibri"/>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Calibri" w:cs="Calibri" w:eastAsia="Calibri" w:hAnsi="Calibri"/>
          <w:b/>
          <w:bCs/>
          <w:sz w:val="24"/>
          <w:szCs w:val="24"/>
        </w:rPr>
        <w:t xml:space="preserve">6.11.2 Harmful compliance: no significant increase in any family; the one significant delta is a decrease</w:t>
      </w:r>
    </w:p>
    <w:p>
      <w:pPr>
        <w:spacing w:after="160" w:line="300"/>
        <w:jc w:val="both"/>
      </w:pPr>
      <w:r>
        <w:rPr>
          <w:rFonts w:ascii="Calibri" w:cs="Calibri" w:eastAsia="Calibri" w:hAnsi="Calibri"/>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Calibri" w:cs="Calibri" w:eastAsia="Calibri" w:hAnsi="Calibri"/>
          <w:b/>
          <w:bCs/>
          <w:sz w:val="24"/>
          <w:szCs w:val="24"/>
        </w:rPr>
        <w:t xml:space="preserve">6.11.3 Over-refusal: no significant increase across families</w:t>
      </w:r>
    </w:p>
    <w:p>
      <w:pPr>
        <w:spacing w:after="160" w:line="300"/>
        <w:jc w:val="both"/>
      </w:pPr>
      <w:r>
        <w:rPr>
          <w:rFonts w:ascii="Calibri" w:cs="Calibri" w:eastAsia="Calibri" w:hAnsi="Calibri"/>
          <w:sz w:val="22"/>
          <w:szCs w:val="22"/>
        </w:rPr>
        <w:t xml:space="preserve">The XSTest over-refusal rate is a consistent cross-family signal: four of the five ΔOR deltas are not statistically significant (Qwen3-4B (−0.004), Llama-3B (+0.016), Mistral-7B (0.000), and Qwen3-1.7B (−0.024, not significant: bootstrap CI [−0.048, 0.000] touches zero and McNemar p = 0.109; §3.7)), and the one significant move, Phi-4-mini (−0.048), runs in the benign direction, as does Qwen3-1.7B's now non-significant decrease: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one significant over-refusal move is a reduction in false refusals (Phi), with Qwen 1.7B's non-significant move in the same benign direction. The largest upward point estimate is on Llama (+0.016), a directional signal whose CI still includes zero.</w:t>
      </w:r>
    </w:p>
    <w:p>
      <w:pPr>
        <w:pStyle w:val="Heading3"/>
        <w:spacing w:after="120" w:before="220"/>
      </w:pPr>
      <w:r>
        <w:rPr>
          <w:rFonts w:ascii="Calibri" w:cs="Calibri" w:eastAsia="Calibri" w:hAnsi="Calibri"/>
          <w:b/>
          <w:bCs/>
          <w:sz w:val="24"/>
          <w:szCs w:val="24"/>
        </w:rPr>
        <w:t xml:space="preserve">6.11.4 Capability: the robust, budget-invariant cost of quantization</w:t>
      </w:r>
    </w:p>
    <w:p>
      <w:pPr>
        <w:spacing w:after="160" w:line="300"/>
        <w:jc w:val="both"/>
      </w:pPr>
      <w:r>
        <w:rPr>
          <w:rFonts w:ascii="Calibri" w:cs="Calibri" w:eastAsia="Calibri" w:hAnsi="Calibri"/>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at the 512-token reference budget, the three interpretation labels are broad_degradation (Qwen 1.7B), alignment_degradation, 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as primary, with an independent three-class refusal judge added as a sensitivity cross-check (Result 6, below).</w:t>
      </w:r>
    </w:p>
    <w:p>
      <w:pPr>
        <w:spacing w:after="160" w:line="300"/>
        <w:jc w:val="both"/>
      </w:pPr>
      <w:r>
        <w:rPr>
          <w:rFonts w:ascii="Calibri" w:cs="Calibri" w:eastAsia="Calibri" w:hAnsi="Calibri"/>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0.77</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 to 0.59) and high for Llama/Phi (κ ≈ 0.67 to 0.84). Source: results_512/analysis/judge_agreement.json.</w:t>
      </w:r>
    </w:p>
    <w:p>
      <w:pPr>
        <w:spacing w:after="160" w:line="300"/>
        <w:jc w:val="both"/>
      </w:pPr>
      <w:r>
        <w:rPr>
          <w:rFonts w:ascii="Calibri" w:cs="Calibri" w:eastAsia="Calibri" w:hAnsi="Calibri"/>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 to 0.59) and high for Llama and Phi (κ ≈ 0.67 to 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00"/>
        <w:jc w:val="both"/>
      </w:pPr>
      <w:r>
        <w:rPr>
          <w:rFonts w:ascii="Calibri" w:cs="Calibri" w:eastAsia="Calibri" w:hAnsi="Calibri"/>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the sole individually significant contrast is Llama's decrease, and no pair shows a significant harmful-compliance increase under either test, so the study's null-increase conclusion does not depend on the bootstrap machinery. A structural property of the judge, 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00"/>
        <w:jc w:val="both"/>
      </w:pPr>
      <w:r>
        <w:rPr>
          <w:rFonts w:ascii="Calibri" w:cs="Calibri" w:eastAsia="Calibri" w:hAnsi="Calibri"/>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 to 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it places Mistral's ASR near 0.55, matching the classifier's ≈0.57, not the v2 proxy's 0.83 to 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00"/>
        <w:jc w:val="both"/>
      </w:pPr>
      <w:r>
        <w:rPr>
          <w:rFonts w:ascii="Calibri" w:cs="Calibri" w:eastAsia="Calibri" w:hAnsi="Calibri"/>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spanning all ten NF4 aliases and deliberately over-sampling the judge-vs-regex disagreement cases, was labelled by a human annotator against the HarmBench rubric (the redacted aggregate is results_512/analysis/human_validation.json; the annotation sheet holds raw response text and is local-only).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37 of 200, against the classifier's 46 and the regex's 132,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relative to the classifier and relative to human judgment, and the classifier is the substantially better scorer. Two bounds are stated with equal plainness. First, κ = 0.59 makes the classifier a better scorer, not a perfect human proxy, it still over-calls 18 cases, exactly the caution the LLM-as-judge literature urges [23], [24].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over-weights disagreements, κ = 0.59 is if anything a conservative floor on the classifier's agreement over a representative population.</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 to 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the choice of scorer changes the conclusion, and refusal-counting over-states harmful compliance relative to both the benchmark's own classifier and a human annotator,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(e.g. Llama Guard [25]) would be a complementary future check.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spacing w:after="160" w:line="300"/>
        <w:jc w:val="both"/>
      </w:pPr>
      <w:r>
        <w:rPr>
          <w:rFonts w:ascii="Calibri" w:cs="Calibri" w:eastAsia="Calibri" w:hAnsi="Calibri"/>
          <w:sz w:val="22"/>
          <w:szCs w:val="22"/>
        </w:rPr>
        <w:t xml:space="preserve">Result 6: the over-refusal axis is scorer-sensitive too, and the one over-refusal survivor does not replicate under an independent judge. The validation above concerns HarmBench ASR; the study's third multiplicity-robust finding, by contrast, is an XSTest over-refusal decrease scored by the demoted v2 refusal regex (Phi-4-mini, ΔOR = −0.048, §6.5.1). To test whether that regex-scored finding is scorer-robust, the same question the classifier answered for HarmBench, the 3,750 saved benign XSTest responses (fifteen aliases × 250 prompts) were re-scored by an independent API judge (gpt-4o, pinned dated snapshot gpt-4o-2024-08-06, temperature 0, zero parse failures) that labels each response by the XSTest paper's own three-class taxonomy: full compliance, partial refusal, full refusal (Röttger et al. [5], who themselves use a GPT-4 judge with this taxonomy). Strict over-refusal counts full refusals only (the conservative reading); broad counts partial or full. This is a sensitivity check, not a change of scorer: the deterministic regex remains the primary over-refusal scorer of record and the multiple-comparison family of §6.5.1 is unchanged. The finding parallels the HarmBench one. First, the two scorers disagree substantially on benign over-refusal: the judge counts roughly four times as many refusals as the regex (mean over-refusal 0.171 strict versus 0.044), because it treats moral lectures, redirections, and answer-free 'I can't do X but I can do Y' alternatives as refusals whereas the keyword regex does not, and per-alias agreement is only poor-to-moderate (Cohen κ from −0.01 to 0.50 across the ten NF4 aliases). Second, and decisively, the Phi-4-mini over-refusal decrease does not replicate: under the judge the Phi ΔOR is +0.016 (strict; direction reversed, CI [−0.028, +0.060], McNemar p = 0.597) or −0.004 (broad; CI [−0.048, +0.036], McNemar p = 1.000), not significant under either mapping, and neither reproduces the regex's −0.048 decrease. No pair shows a significant judge ΔOR under either mapping (every CI includes zero), which is consistent with the study's RQ2 over-refusal null, but the direction and magnitude diverge from the regex most sharply for the one contrast that had survived multiplicity correction. The honest reading, carried into §6.5 and the Abstract, is that the single FDR-surviving over-refusal contrast is scorer-dependent: it is a reproducible property of the refusal regex, not a classifier- or human-validated over-refusal shift. This extends the chapter's central message, the scorer determines the conclusion, from the harmful-compliance axis to the over-refusal axis. As with the second HarmBench judge, the benign prompt and saved response were transmitted to an external API for this check (public benchmark text; only redacted identifier-and-label sidecars are stored, enforced by the same redaction contract), and a human-labelled refusal gold set remains the natural next strengthening (Chapter 9). Full per-alias agreement and all five per-pair judge ΔORs, reported regardless of direction as exploratory sensitivity results, are in results_512/analysis/xstest_judge_agreement.{json,csv} (redacted); no new significance claim enters the pre-registered multiplicity family.</w:t>
      </w:r>
    </w:p>
    <w:p>
      <w:pPr>
        <w:pStyle w:val="Heading2"/>
        <w:spacing w:after="140" w:before="280"/>
      </w:pPr>
      <w:r>
        <w:rPr>
          <w:rFonts w:ascii="Calibri" w:cs="Calibri" w:eastAsia="Calibri" w:hAnsi="Calibri"/>
          <w:b/>
          <w:bCs/>
          <w:sz w:val="26"/>
          <w:szCs w:val="26"/>
        </w:rPr>
        <w:t xml:space="preserve">6.13 Cross-Family Extension: Mistral-7B and Phi-4-mini (RQ5)</w:t>
      </w:r>
    </w:p>
    <w:p>
      <w:pPr>
        <w:spacing w:after="160" w:line="300"/>
        <w:jc w:val="both"/>
      </w:pPr>
      <w:r>
        <w:rPr>
          <w:rFonts w:ascii="Calibri" w:cs="Calibri" w:eastAsia="Calibri" w:hAnsi="Calibri"/>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00"/>
        <w:jc w:val="both"/>
      </w:pPr>
      <w:r>
        <w:rPr>
          <w:rFonts w:ascii="Calibri" w:cs="Calibri" w:eastAsia="Calibri" w:hAnsi="Calibri"/>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 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+0.004,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00"/>
        <w:jc w:val="both"/>
      </w:pPr>
      <w:r>
        <w:rPr>
          <w:rFonts w:ascii="Calibri" w:cs="Calibri" w:eastAsia="Calibri" w:hAnsi="Calibri"/>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so on safety the pair takes a directional alignment_degradation label (evidence status: directional), its ΔASR of +0.020 sitting exactly on the +0.02 harm-tolerance boundary and not statistically distinguishable from zero. The judge, proxy agreement is high (κ = 0.67, like Llama), and the second judge agrees at κ 0.68 at baseline and 0.83 under 4-bit at the reference budget,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under the primary regex scorer), the only significant over-refusal delta in the study, and in the benign direction (fewer false refusals, not more), though this contrast is regex-scored and scorer-dependent: an independent three-class refusal judge does not reproduce it (§6.12, Result 6).</w:t>
      </w:r>
    </w:p>
    <w:p>
      <w:pPr>
        <w:spacing w:after="160" w:line="300"/>
        <w:jc w:val="both"/>
      </w:pPr>
      <w:r>
        <w:rPr>
          <w:rFonts w:ascii="Calibri" w:cs="Calibri" w:eastAsia="Calibri" w:hAnsi="Calibri"/>
          <w:sz w:val="22"/>
          <w:szCs w:val="22"/>
        </w:rPr>
        <w:t xml:space="preserve">Across all four families the central pattern holds and strengthens. Under the official classifier at the 512-token reference budget, none of the five pairs shows a significant increase in genuine harmful compliance under NF4: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 to 0.59) but tracks the judge for Llama and Phi (κ 0.67 to 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Calibri" w:cs="Calibri" w:eastAsia="Calibri" w:hAnsi="Calibri"/>
          <w:b/>
          <w:bCs/>
          <w:sz w:val="26"/>
          <w:szCs w:val="26"/>
        </w:rPr>
        <w:t xml:space="preserve">6.14 Mechanism Probe: Refusal-Margin Geometry (the "why")</w:t>
      </w:r>
    </w:p>
    <w:p>
      <w:pPr>
        <w:spacing w:after="160" w:line="300"/>
        <w:jc w:val="both"/>
      </w:pPr>
      <w:r>
        <w:rPr>
          <w:rFonts w:ascii="Calibri" w:cs="Calibri" w:eastAsia="Calibri" w:hAnsi="Calibri"/>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so its numbers are budget-invariant and reported unchanged from the 128- and 512-token runs alike; its capability-driven boundary-instability reading now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00"/>
        <w:jc w:val="both"/>
      </w:pPr>
      <w:r>
        <w:rPr>
          <w:rFonts w:ascii="Calibri" w:cs="Calibri" w:eastAsia="Calibri" w:hAnsi="Calibri"/>
          <w:sz w:val="22"/>
          <w:szCs w:val="22"/>
        </w:rPr>
        <w:t xml:space="preserve">Validation gate. Before any quantization claim the margin's sign was checked against the baseline judge label. For four families it discriminates refusal from compliance well (AUC 0.86 to 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 to 13 prompts) and correspondingly wide AUC intervals, whereas Mistral's lower estimate rests on the largest positive class (77).</w:t>
      </w:r>
    </w:p>
    <w:p>
      <w:pPr>
        <w:spacing w:after="160" w:line="300"/>
        <w:jc w:val="both"/>
      </w:pPr>
      <w:r>
        <w:rPr>
          <w:rFonts w:ascii="Calibri" w:cs="Calibri" w:eastAsia="Calibri" w:hAnsi="Calibri"/>
          <w:sz w:val="22"/>
          <w:szCs w:val="22"/>
        </w:rPr>
        <w:t xml:space="preserve">Central result: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00"/>
        <w:jc w:val="both"/>
      </w:pPr>
      <w:r>
        <w:rPr>
          <w:rFonts w:ascii="Calibri" w:cs="Calibri" w:eastAsia="Calibri" w:hAnsi="Calibri"/>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00"/>
        <w:jc w:val="both"/>
      </w:pPr>
      <w:r>
        <w:rPr>
          <w:rFonts w:ascii="Calibri" w:cs="Calibri" w:eastAsia="Calibri" w:hAnsi="Calibri"/>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Calibri" w:cs="Calibri" w:eastAsia="Calibri" w:hAnsi="Calibri"/>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6. Precision sweep fp16 → INT8 → NF4. Capability (MMLU, ARC) is essentially flat through INT8 and falls only at four-bit (a cliff, not a gradient),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00"/>
        <w:jc w:val="both"/>
      </w:pPr>
      <w:r>
        <w:rPr>
          <w:rFonts w:ascii="Calibri" w:cs="Calibri" w:eastAsia="Calibri" w:hAnsi="Calibri"/>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00"/>
        <w:jc w:val="both"/>
      </w:pPr>
      <w:r>
        <w:rPr>
          <w:rFonts w:ascii="Calibri" w:cs="Calibri" w:eastAsia="Calibri" w:hAnsi="Calibri"/>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00"/>
        <w:jc w:val="both"/>
      </w:pPr>
      <w:r>
        <w:rPr>
          <w:rFonts w:ascii="Calibri" w:cs="Calibri" w:eastAsia="Calibri" w:hAnsi="Calibri"/>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 to 4% (the lowest of any family; §6.16), so its 128-vs-512 instability traces to cross-run greedy divergence (Llama carries the study's highest prefix-mismatch share, §6.16) rather than to cut-off responses,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00"/>
        <w:jc w:val="both"/>
      </w:pPr>
      <w:r>
        <w:rPr>
          <w:rFonts w:ascii="Calibri" w:cs="Calibri" w:eastAsia="Calibri" w:hAnsi="Calibri"/>
          <w:sz w:val="22"/>
          <w:szCs w:val="22"/>
        </w:rPr>
        <w:t xml:space="preserve">Honest reading of the INT8 result. The lesson of the 128-to-512 comparison is stated plainly. The 128-token Llama INT8 increase rested on a small absolute flip count (≈8 to 9 prompts) on a single pair and was non-monotonic; at the 512-token reference budget it does not replicate under either judge (classifier +0.005, gpt-4o +0.010, both McNemar n.s.), so it is best read as a budget-sensitive artefact rather than a method-specific "INT8 erodes safety" effect, and because Llama's generations truncate at only 3 to 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00"/>
        <w:jc w:val="both"/>
      </w:pPr>
      <w:r>
        <w:rPr>
          <w:rFonts w:ascii="Calibri" w:cs="Calibri" w:eastAsia="Calibri" w:hAnsi="Calibri"/>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neither bit-width-graded nor budget-robust. INT8 is capability-lossless and safety-neutral at 512 tokens, and no harmful-compliance increase (INT8 or NF4) survives at the reference budget.</w:t>
      </w:r>
    </w:p>
    <w:p>
      <w:pPr>
        <w:pStyle w:val="Heading2"/>
        <w:spacing w:after="140" w:before="280"/>
      </w:pPr>
      <w:r>
        <w:rPr>
          <w:rFonts w:ascii="Calibri" w:cs="Calibri" w:eastAsia="Calibri" w:hAnsi="Calibri"/>
          <w:b/>
          <w:bCs/>
          <w:sz w:val="26"/>
          <w:szCs w:val="26"/>
        </w:rPr>
        <w:t xml:space="preserve">6.16 Generation-Length Robustness: the 512-Token Rerun</w:t>
      </w:r>
    </w:p>
    <w:p>
      <w:pPr>
        <w:spacing w:after="160" w:line="300"/>
        <w:jc w:val="both"/>
      </w:pPr>
      <w:r>
        <w:rPr>
          <w:rFonts w:ascii="Calibri" w:cs="Calibri" w:eastAsia="Calibri" w:hAnsi="Calibri"/>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00"/>
        <w:jc w:val="both"/>
      </w:pPr>
      <w:r>
        <w:rPr>
          <w:rFonts w:ascii="Calibri" w:cs="Calibri" w:eastAsia="Calibri" w:hAnsi="Calibri"/>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so the 128-token run was cutting off the majority of generations before completion, and any safety signal measured there is confounded with where the truncation fell. Two disclosures accompany the prefix statistic. First, it is family-heterogeneous: Mistral truncates at 93.5 to 98.0 percent and Phi at 73.5 to 78.5, Qwen at 54.5 to 70.0, while Llama truncates at only 3.0 to 4.0 percent,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00"/>
        <w:jc w:val="both"/>
      </w:pPr>
      <w:r>
        <w:rPr>
          <w:rFonts w:ascii="Calibri" w:cs="Calibri" w:eastAsia="Calibri" w:hAnsi="Calibri"/>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inventing a follow-up user request and then answering it,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340"/>
        <w:gridCol w:w="2340"/>
        <w:gridCol w:w="2340"/>
        <w:gridCol w:w="2340"/>
      </w:tblGrid>
      <w:tr>
        <w:trPr>
          <w:tblHeader/>
        </w:trPr>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@128 (classifier)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(classifier)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(gpt-4o)</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Qwen3-1.7B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(sig @128)</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Qwen3-4B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Llama-3.2-3B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Mistral-7B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Phi-4-mini</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bl>
    <w:p>
      <w:pPr>
        <w:spacing w:after="160" w:line="300"/>
        <w:jc w:val="both"/>
      </w:pPr>
      <w:r>
        <w:rPr>
          <w:rFonts w:ascii="Calibri" w:cs="Calibri" w:eastAsia="Calibri" w:hAnsi="Calibri"/>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 to 0.95, matching the 0.60 to 0.95 range reported for the 128-token run, so the scorer is no less reliable at the reference budget.</w:t>
      </w:r>
    </w:p>
    <w:p>
      <w:pPr>
        <w:spacing w:after="160" w:line="300"/>
        <w:jc w:val="both"/>
      </w:pPr>
      <w:r>
        <w:rPr>
          <w:rFonts w:ascii="Calibri" w:cs="Calibri" w:eastAsia="Calibri" w:hAnsi="Calibri"/>
          <w:sz w:val="22"/>
          <w:szCs w:val="22"/>
        </w:rPr>
        <w:t xml:space="preserve">Capability degradation, in contrast, is essentially unchanged by the generation budget, which is why it, not the safety axis,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00"/>
        <w:jc w:val="both"/>
      </w:pPr>
      <w:r>
        <w:rPr>
          <w:rFonts w:ascii="Calibri" w:cs="Calibri" w:eastAsia="Calibri" w:hAnsi="Calibri"/>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so at 512 there is no detectable effect for stochastic decoding to attenuate. The multi-seed arm covers three pairs (Qwen3-1.7B, Qwen3-4B, Llama), not all five.</w:t>
      </w:r>
    </w:p>
    <w:p>
      <w:pPr>
        <w:pStyle w:val="Heading1"/>
        <w:pageBreakBefore/>
        <w:spacing w:after="200" w:before="360"/>
      </w:pPr>
      <w:r>
        <w:rPr>
          <w:rFonts w:ascii="Calibri" w:cs="Calibri" w:eastAsia="Calibri" w:hAnsi="Calibri"/>
          <w:b/>
          <w:bCs/>
          <w:sz w:val="32"/>
          <w:szCs w:val="32"/>
        </w:rPr>
        <w:t xml:space="preserve">Chapter 7: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five explicit design choices. First, the safety axis is measured under direct harmful requests only, no adversarial attack or jailbreak transformation is applied (Chapter 3),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including attack-mediated ASR under HarmBench's own attack suite,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 to 0.95 across all ten models, and κ 0.68 to 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scored by the regex parser as primary, since the HarmBench classifier does not judge over-refusal; an independent three-class refusal judge (gpt-4o) has now cross-checked it as a sensitivity layer (§6.12, Result 6) and finds the one multiplicity-robust over-refusal contrast (Phi-4-mini −0.048) to be scorer-dependent, not reproduced by the judge, so a human-labelled refusal gold set is the remaining strengthening on that axis.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 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its MMLU is essentially preserved and its safety shift is only a non-significant nudge,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 to 9).</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is Hong et al. [16], which, across a broader trust taxonomy,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Calibri" w:cs="Calibri" w:eastAsia="Calibri" w:hAnsi="Calibri"/>
          <w:b/>
          <w:bCs/>
          <w:sz w:val="32"/>
          <w:szCs w:val="32"/>
        </w:rPr>
        <w:t xml:space="preserve">Chapter 8: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Threat model: direct requests only. HarmBench was evaluated in its standard configuration, the curated harmful behaviours presented directly,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highest-impact extension in Chapter 9.</w:t>
      </w:r>
    </w:p>
    <w:p>
      <w:pPr>
        <w:pStyle w:val="ListParagraph"/>
        <w:numPr>
          <w:ilvl w:val="0"/>
          <w:numId w:val="5"/>
        </w:numPr>
        <w:spacing w:after="80" w:line="280"/>
      </w:pPr>
      <w:r>
        <w:rPr>
          <w:rFonts w:ascii="Calibri" w:cs="Calibri" w:eastAsia="Calibri" w:hAnsi="Calibri"/>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the truncation component is resolved: every model answers every item (answered rate 1.000 across all fifteen aliases), so none of the primary ΔMMLU = −0.090 is attributable to answer-format truncation. A distinct format asymmetry remains at 512, however: the lenient fallback parser fires on 48.7% of the 4-bit member's MMLU items versus 3.3% at fp16 (§6.5), so part of the −0.090 magnitude reflects an answer-format shift that the parser scores less reliably, not genuinely wrong answers alone; ARC, which is immune to this asymmetry, corroborates the direction of the loss at a smaller magnitude. The truncation caveat therefore applies only to the retained 128-token comparison (§6.16); the parser-leniency caveat applies at the primary budget and is quantified in §6.5</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Calibri" w:cs="Calibri" w:eastAsia="Calibri" w:hAnsi="Calibri"/>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Extending the same symmetric arm to the two remaining pairs (Mistral, Phi) and raising the seed count would complete the within-condition variance estimate across the full matrix.</w:t>
      </w:r>
    </w:p>
    <w:p>
      <w:pPr>
        <w:pStyle w:val="ListParagraph"/>
        <w:numPr>
          <w:ilvl w:val="0"/>
          <w:numId w:val="5"/>
        </w:numPr>
        <w:spacing w:after="80" w:line="280"/>
      </w:pPr>
      <w:r>
        <w:rPr>
          <w:rFonts w:ascii="Calibri" w:cs="Calibri" w:eastAsia="Calibri" w:hAnsi="Calibri"/>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role-playing both sides of a short dialogue,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the evidence rules out any harmful-compliance increase larger than that detectable effect, not that the change is exactly zero, and pre-registering a smallest effect of interest and powering the design to it, including the two pairs (Mistral, Phi) not yet covered by the multi-seed arm, is noted in Chapter 9.</w:t>
      </w:r>
    </w:p>
    <w:p>
      <w:pPr>
        <w:pStyle w:val="ListParagraph"/>
        <w:numPr>
          <w:ilvl w:val="0"/>
          <w:numId w:val="5"/>
        </w:numPr>
        <w:spacing w:after="80" w:line="280"/>
      </w:pPr>
      <w:r>
        <w:rPr>
          <w:rFonts w:ascii="Calibri" w:cs="Calibri" w:eastAsia="Calibri" w:hAnsi="Calibri"/>
          <w:sz w:val="22"/>
          <w:szCs w:val="22"/>
        </w:rPr>
        <w:t xml:space="preserve">Model-weight provenance (pinned). Each of the five model repositories is pinned by Hugging Face commit hash, the optional revision field (Appendix C) set on every entry in configs/tc1.yaml and configs/tc1_512.yaml (Appendix A),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highest-impact extension of the safety axis.</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Calibri" w:cs="Calibri" w:eastAsia="Calibri" w:hAnsi="Calibri"/>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Calibri" w:cs="Calibri" w:eastAsia="Calibri" w:hAnsi="Calibri"/>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Calibri" w:cs="Calibri" w:eastAsia="Calibri" w:hAnsi="Calibri"/>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[26])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Calibri" w:cs="Calibri" w:eastAsia="Calibri" w:hAnsi="Calibri"/>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 to 6.3 and analysed in §6.13: under the judge, no pair shows a significant harmful-compliance increase, and at the 512-token reference budget Mistral ΔASR is −0.020 (n.s.; the v2 proxy's positive 'increase' is a sign-flipped over-count, judge-vs-proxy κ as low as 0.25) and Phi ΔASR is +0.020 (directional alignment_degradation, κ 0.67), so adding two families leaves the null-safety conclusion intact and reinforces the judge-over-proxy finding (D16) in two further families.</w:t>
      </w:r>
    </w:p>
    <w:p>
      <w:pPr>
        <w:pStyle w:val="ListParagraph"/>
        <w:numPr>
          <w:ilvl w:val="0"/>
          <w:numId w:val="6"/>
        </w:numPr>
        <w:spacing w:after="80" w:line="280"/>
      </w:pPr>
      <w:r>
        <w:rPr>
          <w:rFonts w:ascii="Calibri" w:cs="Calibri" w:eastAsia="Calibri" w:hAnsi="Calibri"/>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the apparent Llama-3B INT8 increase seen at 128 tokens (which had been both-judge-significant there) vanishes at 512 (classifier Δ+0.005, McNemar p = 1.000; gpt-4o Δ+0.010, p = 0.688),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and a second human annotator. The primary HarmBench classifier has now been cross-checked against a second frontier judge (gpt-4o, same rubric), which agreed strongly per prompt (κ 0.60 to 0.95 across all ten models, 0.68 to 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Two complementary extensions remain on the judge side: (i) re-run the cross-check with an open-weight guard model (e.g. LlamaGuard, via the already-wired --backend llamaguard on TC1) so the confirmation does not depend on a versioned API model and is fully reproducible; and (ii) a refusal-style judge for XSTest over-refusal has now been run as a sensitivity layer (§6.12, Result 6; gpt-4o, three-class taxonomy, 3,750 responses, zero parse failures), finding the one multiplicity-robust over-refusal contrast to be scorer-dependent, so what remains there is a human-labelled refusal gold set to ground the judge against truth, exactly as the HarmBench human audit (Result 5) grounds the classifier. All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Conclusion</w:t>
      </w:r>
    </w:p>
    <w:p>
      <w:pPr>
        <w:spacing w:after="160" w:line="300"/>
        <w:jc w:val="both"/>
      </w:pPr>
      <w:r>
        <w:rPr>
          <w:rFonts w:ascii="Calibri" w:cs="Calibri" w:eastAsia="Calibri" w:hAnsi="Calibri"/>
          <w:sz w:val="22"/>
          <w:szCs w:val="22"/>
        </w:rPr>
        <w:t xml:space="preserve">This Final Year Project investigates safety, 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 verification suite of 339 automated tests.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original runs completed on the NTU TC1 GPU cluster on 2026-05-27 (SLURM jobs 60976 to 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so within this study's detection bounds (minimum detectable ΔASR of about 0.06 per pair; §6.5.1)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is a directional alignment_degradation on safety (ΔASR +0.020 on the +0.02 tolerance boundary, n.s.) with its only significant move a decrease in over-refusal. The INT8 precision point (§6.15) adds that the safety axis is neither bit-width-graded nor budget-robust, the apparent Llama INT8 move at 128 tokens vanishes at the reference budget under both judges,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a reading the 512-token null corroborates directly, since its Qwen 1.7B ΔASR of 0.000 is a high-churn exchange of sixteen harmful-ward and sixteen safe-ward flips.</w:t>
      </w:r>
    </w:p>
    <w:p>
      <w:pPr>
        <w:spacing w:after="160" w:line="300"/>
        <w:jc w:val="both"/>
      </w:pPr>
      <w:r>
        <w:rPr>
          <w:rFonts w:ascii="Calibri" w:cs="Calibri" w:eastAsia="Calibri" w:hAnsi="Calibri"/>
          <w:sz w:val="22"/>
          <w:szCs w:val="22"/>
        </w:rPr>
        <w:t xml:space="preserve">The results answer all five research questions at HarmBench's 512-token reference budget. Under the official HarmBench classifier, no evaluated pair shows a significant increase in genuine harmful compliance under NF4,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Calibri" w:cs="Calibri" w:eastAsia="Calibri" w:hAnsi="Calibri"/>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Calibri" w:cs="Calibri" w:eastAsia="Calibri" w:hAnsi="Calibri"/>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Calibri" w:cs="Calibri" w:eastAsia="Calibri" w:hAnsi="Calibri"/>
          <w:sz w:val="22"/>
          <w:szCs w:val="22"/>
        </w:rPr>
        <w:t xml:space="preserve">Z. Zhang et al., "SafetyBench: Evaluating the safety of large language models," in Proc. ACL, 2024. arXiv:2309.07045.</w:t>
      </w:r>
    </w:p>
    <w:p>
      <w:pPr>
        <w:pStyle w:val="ListParagraph"/>
        <w:numPr>
          <w:ilvl w:val="0"/>
          <w:numId w:val="7"/>
        </w:numPr>
        <w:spacing w:after="80" w:line="280"/>
      </w:pPr>
      <w:r>
        <w:rPr>
          <w:rFonts w:ascii="Calibri" w:cs="Calibri" w:eastAsia="Calibri" w:hAnsi="Calibri"/>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Calibri" w:cs="Calibri" w:eastAsia="Calibri" w:hAnsi="Calibri"/>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Calibri" w:cs="Calibri" w:eastAsia="Calibri" w:hAnsi="Calibri"/>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Calibri" w:cs="Calibri" w:eastAsia="Calibri" w:hAnsi="Calibri"/>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Calibri" w:cs="Calibri" w:eastAsia="Calibri" w:hAnsi="Calibri"/>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Calibri" w:cs="Calibri" w:eastAsia="Calibri" w:hAnsi="Calibri"/>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Calibri" w:cs="Calibri" w:eastAsia="Calibri" w:hAnsi="Calibri"/>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Calibri" w:cs="Calibri" w:eastAsia="Calibri" w:hAnsi="Calibri"/>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Calibri" w:cs="Calibri" w:eastAsia="Calibri" w:hAnsi="Calibri"/>
          <w:sz w:val="22"/>
          <w:szCs w:val="22"/>
        </w:rPr>
        <w:t xml:space="preserve">A. Kharinaev, V. Moskvoretskii, E. Shvetsov et al., "Investigating the impact of quantization methods on the safety and reliability of large language models," IEEE Access, 2025. arXiv:2502.15799.</w:t>
      </w:r>
    </w:p>
    <w:p>
      <w:pPr>
        <w:pStyle w:val="ListParagraph"/>
        <w:numPr>
          <w:ilvl w:val="0"/>
          <w:numId w:val="7"/>
        </w:numPr>
        <w:spacing w:after="80" w:line="280"/>
      </w:pPr>
      <w:r>
        <w:rPr>
          <w:rFonts w:ascii="Calibri" w:cs="Calibri" w:eastAsia="Calibri" w:hAnsi="Calibri"/>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Calibri" w:cs="Calibri" w:eastAsia="Calibri" w:hAnsi="Calibri"/>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Calibri" w:cs="Calibri" w:eastAsia="Calibri" w:hAnsi="Calibri"/>
          <w:sz w:val="22"/>
          <w:szCs w:val="22"/>
        </w:rPr>
        <w:t xml:space="preserve">K. Chen, J. Zhang, J. Hu et al., "Q-resafe: Assessing safety risks and quantization-aware safety patching for quantized large language models," in Proc. ICML, 2025. arXiv:2506.20251.</w:t>
      </w:r>
    </w:p>
    <w:p>
      <w:pPr>
        <w:pStyle w:val="ListParagraph"/>
        <w:numPr>
          <w:ilvl w:val="0"/>
          <w:numId w:val="7"/>
        </w:numPr>
        <w:spacing w:after="80" w:line="280"/>
      </w:pPr>
      <w:r>
        <w:rPr>
          <w:rFonts w:ascii="Calibri" w:cs="Calibri" w:eastAsia="Calibri" w:hAnsi="Calibri"/>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Calibri" w:cs="Calibri" w:eastAsia="Calibri" w:hAnsi="Calibri"/>
          <w:sz w:val="22"/>
          <w:szCs w:val="22"/>
        </w:rPr>
        <w:t xml:space="preserve">A. Yang et al. (Qwen Team), "Qwen3 technical report," Alibaba Group, 2025. arXiv:2505.09388.</w:t>
      </w:r>
    </w:p>
    <w:p>
      <w:pPr>
        <w:pStyle w:val="ListParagraph"/>
        <w:numPr>
          <w:ilvl w:val="0"/>
          <w:numId w:val="7"/>
        </w:numPr>
        <w:spacing w:after="80" w:line="280"/>
      </w:pPr>
      <w:r>
        <w:rPr>
          <w:rFonts w:ascii="Calibri" w:cs="Calibri" w:eastAsia="Calibri" w:hAnsi="Calibri"/>
          <w:sz w:val="22"/>
          <w:szCs w:val="22"/>
        </w:rPr>
        <w:t xml:space="preserve">A. Grattafiori et al. (Meta AI), "The Llama 3 herd of models," Meta AI, 2024. arXiv:2407.21783.</w:t>
      </w:r>
    </w:p>
    <w:p>
      <w:pPr>
        <w:pStyle w:val="ListParagraph"/>
        <w:numPr>
          <w:ilvl w:val="0"/>
          <w:numId w:val="7"/>
        </w:numPr>
        <w:spacing w:after="80" w:line="280"/>
      </w:pPr>
      <w:r>
        <w:rPr>
          <w:rFonts w:ascii="Calibri" w:cs="Calibri" w:eastAsia="Calibri" w:hAnsi="Calibri"/>
          <w:sz w:val="22"/>
          <w:szCs w:val="22"/>
        </w:rPr>
        <w:t xml:space="preserve">B. Efron and R. J. Tibshirani, An Introduction to the Bootstrap. New York: Chapman &amp; Hall, 1993.</w:t>
      </w:r>
    </w:p>
    <w:p>
      <w:pPr>
        <w:pStyle w:val="ListParagraph"/>
        <w:numPr>
          <w:ilvl w:val="0"/>
          <w:numId w:val="7"/>
        </w:numPr>
        <w:spacing w:after="80" w:line="280"/>
      </w:pPr>
      <w:r>
        <w:rPr>
          <w:rFonts w:ascii="Calibri" w:cs="Calibri" w:eastAsia="Calibri" w:hAnsi="Calibri"/>
          <w:sz w:val="22"/>
          <w:szCs w:val="22"/>
        </w:rPr>
        <w:t xml:space="preserve">Q. McNemar, "Note on the sampling error of the difference between correlated proportions or percentages," Psychometrika, vol. 12, no. 2, pp. 153 to 157, 1947.</w:t>
      </w:r>
    </w:p>
    <w:p>
      <w:pPr>
        <w:pStyle w:val="ListParagraph"/>
        <w:numPr>
          <w:ilvl w:val="0"/>
          <w:numId w:val="7"/>
        </w:numPr>
        <w:spacing w:after="80" w:line="280"/>
      </w:pPr>
      <w:r>
        <w:rPr>
          <w:rFonts w:ascii="Calibri" w:cs="Calibri" w:eastAsia="Calibri" w:hAnsi="Calibri"/>
          <w:sz w:val="22"/>
          <w:szCs w:val="22"/>
        </w:rPr>
        <w:t xml:space="preserve">A. Q. Jiang et al., "Mistral 7B," Mistral AI, 2023. arXiv:2310.06825.</w:t>
      </w:r>
    </w:p>
    <w:p>
      <w:pPr>
        <w:pStyle w:val="ListParagraph"/>
        <w:numPr>
          <w:ilvl w:val="0"/>
          <w:numId w:val="7"/>
        </w:numPr>
        <w:spacing w:after="80" w:line="280"/>
      </w:pPr>
      <w:r>
        <w:rPr>
          <w:rFonts w:ascii="Calibri" w:cs="Calibri" w:eastAsia="Calibri" w:hAnsi="Calibri"/>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Calibri" w:cs="Calibri" w:eastAsia="Calibri" w:hAnsi="Calibri"/>
          <w:sz w:val="22"/>
          <w:szCs w:val="22"/>
        </w:rPr>
        <w:t xml:space="preserve">J. Gu et al., "A survey on LLM-as-a-judge," arXiv:2411.15594, 2024.</w:t>
      </w:r>
    </w:p>
    <w:p>
      <w:pPr>
        <w:pStyle w:val="ListParagraph"/>
        <w:numPr>
          <w:ilvl w:val="0"/>
          <w:numId w:val="7"/>
        </w:numPr>
        <w:spacing w:after="80" w:line="280"/>
      </w:pPr>
      <w:r>
        <w:rPr>
          <w:rFonts w:ascii="Calibri" w:cs="Calibri" w:eastAsia="Calibri" w:hAnsi="Calibri"/>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Calibri" w:cs="Calibri" w:eastAsia="Calibri" w:hAnsi="Calibri"/>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Calibri" w:cs="Calibri" w:eastAsia="Calibri" w:hAnsi="Calibri"/>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Calibri" w:cs="Calibri" w:eastAsia="Calibri" w:hAnsi="Calibri"/>
          <w:b/>
          <w:bCs/>
          <w:sz w:val="32"/>
          <w:szCs w:val="32"/>
        </w:rPr>
        <w:t xml:space="preserve">Appendix A: Final TC1 Configuration</w:t>
      </w:r>
    </w:p>
    <w:p>
      <w:pPr>
        <w:spacing w:after="160" w:line="300"/>
        <w:jc w:val="both"/>
      </w:pPr>
      <w:r>
        <w:rPr>
          <w:rFonts w:ascii="Calibri" w:cs="Calibri" w:eastAsia="Calibri" w:hAnsi="Calibri"/>
          <w:sz w:val="22"/>
          <w:szCs w:val="22"/>
        </w:rPr>
        <w:t xml:space="preserve">The full configs/tc1_512.yaml, the configuration of the primary 512-token study (D41),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 to 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on-the-fly quantized loading.</w:t>
      </w:r>
    </w:p>
    <w:p>
      <w:pPr>
        <w:pStyle w:val="ListParagraph"/>
        <w:numPr>
          <w:ilvl w:val="0"/>
          <w:numId w:val="2"/>
        </w:numPr>
        <w:spacing w:after="80" w:line="280"/>
      </w:pPr>
      <w:r>
        <w:rPr>
          <w:rFonts w:ascii="Calibri" w:cs="Calibri" w:eastAsia="Calibri" w:hAnsi="Calibri"/>
          <w:sz w:val="22"/>
          <w:szCs w:val="22"/>
        </w:rPr>
        <w:t xml:space="preserve">quant_method : str | None : quantization method when quantized=true,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 to 2.0)</w:t>
      </w:r>
    </w:p>
    <w:p>
      <w:pPr>
        <w:pStyle w:val="ListParagraph"/>
        <w:numPr>
          <w:ilvl w:val="0"/>
          <w:numId w:val="2"/>
        </w:numPr>
        <w:spacing w:after="80" w:line="280"/>
      </w:pPr>
      <w:r>
        <w:rPr>
          <w:rFonts w:ascii="Calibri" w:cs="Calibri" w:eastAsia="Calibri" w:hAnsi="Calibri"/>
          <w:sz w:val="22"/>
          <w:szCs w:val="22"/>
        </w:rPr>
        <w:t xml:space="preserve">top_p : float (0.0 to 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Test Inventory</w:t>
      </w:r>
    </w:p>
    <w:p>
      <w:pPr>
        <w:spacing w:after="160" w:line="300"/>
        <w:jc w:val="both"/>
      </w:pPr>
      <w:r>
        <w:rPr>
          <w:rFonts w:ascii="Calibri" w:cs="Calibri" w:eastAsia="Calibri" w:hAnsi="Calibri"/>
          <w:sz w:val="22"/>
          <w:szCs w:val="22"/>
        </w:rPr>
        <w:t xml:space="preserve">The verification suite comprises 339 automated tests across twenty-six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 attn_implementation threading (injected only when set, omitted otherwise), and prompt-templating provenance (prompt_was_templated).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 and summary-CSV upsert (a resumed run replaces its row rather than duplicating 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(six-label taxonomy), McNemar exact test, bootstrap CI logic, v2 sidecar selection, ARC capability axis, and NF4-only pair selection (the pairwise pipeline never labels an INT8 member as the NF4 result).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regression check, judge-precision resolution, and full status accounting (error/skipped counted, never silently dropped).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 harness: AGENTS/CLAUDE sync, project-log discipline, immutable-artifact discipline (mutation fails; partial local deletion fails; fresh-clone absence passes), stale-text/redaction scans with real-policy self-tests (retired-κ guards fire unless 128-scoped; a leaky results sidecar fails redaction), agent-start packet, and report-freshness (a report-source edit without a regenerated docx fails the gate; the committed policy keeps the source a trigger, not a satisfier).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Multi-seed sensitivity config + aggregator (summarise_deltas) and sbatch generator, plus the v2-proxy reader preferring summary.v2.json over the v1 runtime summary.json (with fallback).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canonical refusal templates, negative controls, curly-apostrophe handling, the diagnostic match_refusal_pattern helper, and MCQ answer extraction including markdown-emphasised answers ('**B.**', 'answer is **D**').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Refusal-margin mechanism metric (D33/§6.14): log-prob margin sign and shift-invariance, decision entropy, top1, 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test_quant_int8.py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precision point (D34/T29): quant_method schema validator + baseline-consistency check, ModelSpec/build_model_spec threading, 8-bit detection in _quantization_active, the loader int8-vs-nf4 branch selection (sentinel configs, no GPU/bitsandbytes needed), the configs/tc1_int8.yaml sweep config, and the silent-fp16 raise guard (_require_quantization_engaged raises for a quantized spec that loaded fp16, names the method, stays silent for baselines/active quant).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test_precision_sweep.py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fp16 -&gt; INT8 -&gt; NF4 precision-sweep analysis: per-metric deltas vs fp16, graded/cliff/non-monotonic shape classification, graceful INT8-pending handling, and both regex-derived columns (HarmBench v2 proxy AND XSTest over-refusal) preferring summary.v2.json with fallback, so v1 and v2 are never mixed across precisions.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test_int8_scoping.py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full-parity scoping (T29): the backward-compatible --models/--out-suffix on the diagnostic stack (judge_agreement, judge_pairwise, harmbench_category, mmlu_subject) writes scoped *_int8 artefacts without touching committed base-vs-4bit outputs, and the per-pair section is empty for an INT8-only model set; plus a default-run backward-compat check.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test_dashboard_data.py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Streamlit-free dashboard data layer (dashboard/data.py): results discovery, judge-primary ASR rebuild from results/analysis/multiple_comparisons.json via classify_pair_change with canonical judge-label preference, summary loading, the schema-validated config + sbatch emission for the add-model form, config-filename sanitisation, and the protected-evidence execution guard (subpaths, traversals, and case-variant/aliased spellings all refused; the Run page resolves every execution dir through a single guarded choke point).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test_report_claims.py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Claim lock (D43): runs scripts/verify_report_claims.py, every load-bearing number in the canonical report AND thesis builders is asserted against the committed analysis artifacts (55+ checks; the gate prints its exact count on every run); the documents cannot drift from their evidence without failing the suite.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test_dashboard_theme.py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Dashboard presentation helpers (dashboard/theme.py): label formatting, interpretation/metric colour mapping, and delta-rendering utilities.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339</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Twenty-six files; 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(339 tests across 26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Calibri" w:cs="Calibri" w:eastAsia="Calibri" w:hAnsi="Calibri"/>
          <w:b/>
          <w:bCs/>
          <w:sz w:val="32"/>
          <w:szCs w:val="32"/>
        </w:rPr>
        <w:t xml:space="preserve">Appendix F: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package-version, and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 to 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512-primary re-base (decision D41). HarmBench ASR is now reported at HarmBench's 512-token reference budget as the primary configuration, with the 128-token run retained as the §6.16 generation-length comparison. Tables 6.1 to 6.3, the Abstract, all of Chapter 6, the RQ answers, and Chapters 7 to 10 were re-based to the 512 numbers. Headline: no HarmBench ASR contrast survives BH-FDR at the reference budget (the three survivors are capability/over-refusal,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 to 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T26 cross-family extension folded in. Two matched pairs run on TC1 on 2026-06-15, Mistral-7B-Instruct-v0.3 and Phi-4-mini-instruct, take the study to five pairs / ten models / four families. New §6.13 presents the cross-family results; Tables 6.1/6.2/6.3 extended to all five pairs; Abstract, §6.1, §6.3 (RQ5), §6.4.1 (ARC), §6.9 (RQ2/RQ5), §6.11, §6.12 (second judge now spans all ten models, κ 0.60 to 0.95) and Ch10 updated. Judge-primary (128-token era; superseded by the 512-primary figures): Mistral ΔASR −0.040 (n.s.; the v2 proxy's +0.055 is a sign-flipped over-count, judge-vs-proxy κ 0.11 to 0.19, the study's starkest divergence, with the second judge gpt-4o concurring at κ 0.60 to 0.63); Phi ΔASR 0.000 (robust_preservation, κ 0.67). No new significant ΔASR,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128-token era. Renamed the artifact to today's date and rolled in the day's robustness work. T18 multi-seed sensitivity (§6.6.1): the Qwen 1.7B ΔASR is decode-dependent, mean +0.024 across five seeds vs the +0.055 greedy headline, not sign-consistent,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 to 0.94 and reproduces the Qwen 1.7B increase in direction (+0.045 vs +0.055), borderline on significance (McNemar p=0.122),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 to 0.37, Llama κ≈0.69 to 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ΔASR borderline non-significant), §6.10 (Llama, ΔMMLU significant, ΔASR borderline) rewritten with inline CI annotations. RQ1, 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 to 60981). Table 6.1 fully populated. Table 6.2 expanded to all three pairs. §6.3 updated with cross-family headline finding. §6.9 RQ5 and synthesis sections complete. Added §6.10 Llama 3.2 3B pair observations (baseline profile, MMLU subject breakdown). Added §6.11 cross-family comparison (§6.11.1, §6.11.5: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 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 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Scoring-Methodology Correction Record</w:t>
      </w:r>
    </w:p>
    <w:p>
      <w:pPr>
        <w:spacing w:after="160" w:line="300"/>
        <w:jc w:val="both"/>
      </w:pPr>
      <w:r>
        <w:rPr>
          <w:rFonts w:ascii="Calibri" w:cs="Calibri" w:eastAsia="Calibri" w:hAnsi="Calibri"/>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correction proceeded in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at the then-current 128-token budget,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with 339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Calibri" w:cs="Calibri" w:eastAsia="Calibri" w:hAnsi="Calibri"/>
          <w:b/>
          <w:bCs/>
          <w:sz w:val="26"/>
          <w:szCs w:val="26"/>
        </w:rPr>
        <w:t xml:space="preserve">H.5 Remaining construct-validity extension</w:t>
      </w:r>
    </w:p>
    <w:p>
      <w:pPr>
        <w:spacing w:after="160" w:line="300"/>
        <w:jc w:val="both"/>
      </w:pPr>
      <w:r>
        <w:rPr>
          <w:rFonts w:ascii="Calibri" w:cs="Calibri" w:eastAsia="Calibri" w:hAnsi="Calibri"/>
          <w:sz w:val="22"/>
          <w:szCs w:val="22"/>
        </w:rPr>
        <w:t xml:space="preserve">One optional methodological extension remains open and is carried in Chapter 9: adding a second independent judge (for example LlamaGuard or a frontier-model classifier with a strict yes/no rubric) to cross-check the HarmBench classifier itself. This is the one remaining construct-validity threat on the HarmBench metric (§7.4). The framework already supports it through the pluggable judge backend in `ethical_benchmark/judges/validation.py` and the agreement analysis in `scripts/judge_agreement.py`; the primary scorer is unaffected either way.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TAN UEI HORNG (UTAN001)</w:t>
    </w:r>
    <w:r>
      <w:t xml:space="preserve">	</w:t>
    </w:r>
    <w:r>
      <w:rPr>
        <w:rFonts w:ascii="Calibri" w:cs="Calibri" w:eastAsia="Calibri" w:hAnsi="Calibri"/>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2026-07-12T05:57:14.593Z</dcterms:created>
  <dcterms:modified xsi:type="dcterms:W3CDTF">2026-07-12T05:57:14.594Z</dcterms:modified>
</cp:coreProperties>
</file>

<file path=docProps/custom.xml><?xml version="1.0" encoding="utf-8"?>
<Properties xmlns="http://schemas.openxmlformats.org/officeDocument/2006/custom-properties" xmlns:vt="http://schemas.openxmlformats.org/officeDocument/2006/docPropsVTypes"/>
</file>