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Full per-alias agreement and all five per-pair judge ΔORs — reported regardless of direction as exploratory sensitivity results — are in results_512/analysis/xstest_judge_agreement.{json,csv} (redacted); no new significance claim enters the pre-registered multiplicity family.</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2026-07-12T05:57:13.637Z</dcterms:created>
  <dcterms:modified xsi:type="dcterms:W3CDTF">2026-07-12T05:57:13.638Z</dcterms:modified>
</cp:coreProperties>
</file>

<file path=docProps/custom.xml><?xml version="1.0" encoding="utf-8"?>
<Properties xmlns="http://schemas.openxmlformats.org/officeDocument/2006/custom-properties" xmlns:vt="http://schemas.openxmlformats.org/officeDocument/2006/docPropsVTypes"/>
</file>