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and that lone over-refusal survivor is itself scorer-dependent: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as its primary scorer, cross-checked by an independent three-class refusal judge as a sensitivity layer (§7.2) (the HarmBench classifier judges harmful compliance only). XSTest's own protocol scores over-refusal with LLM-based three-way labelling (full compliance / partial refusal / full refusal); this study instead retains a deterministic binary refusal regex as the primary scorer, a deliberate, reproducibility-motivated deviation that yields a coarser refusal / non-refusal construct, and adds that three-way judge back only as a sensitivity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and an independent refusal judge does not reproduce it (§7.2), so that survivor is scorer-dependent. Qwen3-1.7B shows a non-significant decrease (−0.024, McNemar p = 0.109).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A construct caveat sharpens that reading: the MMLU answer parser falls back to a lenient "first in-range capital letter anywhere" scan whenever a response neither leads with the option letter nor states an explicit "answer is X", and this fallback fires on 48.7 percent of qwen_2b_4bit items against just 3.3 percent for its fp16 twin, at an accuracy (46 percent) well below the leading-letter rule's (75 percent). Part of the −0.090 MMLU gap therefore reflects a shift in answer format that the lenient parser scores less reliably, not only lost knowledge; ARC-Challenge, scored by an identical protocol for both members and free of this format asymmetry, moves in the same negative direction (−0.009, not significant), which corroborates the direction of the loss while showing that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a label that is more consistent with a capability side-effect than with a genuine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The two capability survivors are classifier- and human-anchored; the over-refusal survivor is itself regex-scored, so it inherits the same weaker-construct status as the demoted proxy, and an independent three-class refusal judge does not reproduce it (§7.2), so it should be read as a reproducible, scorer-dependent non-refusal-rate change, not a classifier- or human-validated over-refusal shift. Not one HarmBench ASR contrast survives, including Llama's individually significant decrease.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κ 0.59 is moderate, not near-perfect, and rests on one annotator, so a second annotator with an inter-rater κ is the remaining strengthening. Over-refusal remains regex-scored, a known weaker construct, and the single over-refusal contrast that survives multiplicity correction (Phi-4-mini's −0.048 decrease) inherits that same weaker-construct status. To test that survivor for scorer-robustness (the same question the classifier settled on the harmful-compliance axis), the 3,750 saved benign XSTest responses were re-scored by an independent three-class refusal judge (GPT-4o, pinned dated snapshot, temperature 0, zero parse failures) applying the XSTest paper's own full-compliance / partial-refusal / full-refusal taxonomy [9], run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 to moderately on benign over-refusal (Cohen κ −0.01 to 0.50 across the ten NF4 aliases, with the judge counting roughly four times as many refusals). The one multiplicity-robust over-refusal contrast is therefore scorer-dependent, a reproducible property of the refusal regex rather than a classifier- or human-validated over-refusal shift,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2026-07-12T05:57:14.971Z</dcterms:created>
  <dcterms:modified xsi:type="dcterms:W3CDTF">2026-07-12T05:57:14.972Z</dcterms:modified>
</cp:coreProperties>
</file>

<file path=docProps/custom.xml><?xml version="1.0" encoding="utf-8"?>
<Properties xmlns="http://schemas.openxmlformats.org/officeDocument/2006/custom-properties" xmlns:vt="http://schemas.openxmlformats.org/officeDocument/2006/docPropsVTypes"/>
</file>