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five diagnostic labels: alignment degradation, alignment improvement,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 (directional)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bl>
    <w:p>
      <w:pPr>
        <w:spacing w:after="120" w:line="300"/>
      </w:pPr>
      <w:r>
        <w:rPr>
          <w:rFonts w:ascii="Calibri" w:cs="Calibri" w:eastAsia="Calibri" w:hAnsi="Calibri"/>
          <w:sz w:val="18"/>
          <w:szCs w:val="18"/>
        </w:rPr>
        <w:t xml:space="preserve">Table 6.2  All-pair quantization deltas and interpretation labels. Δ = 4-bit − baseline. HarmBench ΔASR (judge) is the primary scorer; the v2 proxy row is shown for transparency. ★ marks deltas whose paired-bootstrap 95% CI excludes zero. Under the judge, three deltas are significant: Qwen 1.7B ΔASR, Qwen 1.7B ΔMMLU, and Llama ΔMMLU. The Qwen 4B judge ΔASR (+0.025) is directional only — its CI touches zero — so the interpretation label is alignment_degradation by point estimate but not statistically confirmed.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but the effect is directional rather than statistically confirmed. HarmBench ASR rises from 0.065 to 0.090 (ΔASR = +0.025, 95% CI [−0.000, +0.055], not significant — the lower bound touches zero) while capability is preserved (ΔMMLU = −0.003, CI [−0.040, +0.033], not significant). Because capability is preserved and the ASR point estimate exceeds the harm tolerance, the rule assigns alignment_degradation; but the CI includes zero, so this is best read as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The remaining items are non-technical: push the latest commit to origin;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2026-06-06T06:41:31.019Z</dcterms:created>
  <dcterms:modified xsi:type="dcterms:W3CDTF">2026-06-06T06:41:31.020Z</dcterms:modified>
</cp:coreProperties>
</file>

<file path=docProps/custom.xml><?xml version="1.0" encoding="utf-8"?>
<Properties xmlns="http://schemas.openxmlformats.org/officeDocument/2006/custom-properties" xmlns:vt="http://schemas.openxmlformats.org/officeDocument/2006/docPropsVTypes"/>
</file>