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pending submission. This document records the full design, implementation, intended analysis,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reporting schema.</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user-level concurrency is capped at two simultaneous jobs by the MaxJobsPU policy.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(concurrent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With MaxJobsPU=2 enforced by the cluster policy, the six jobs are processed in three sequential pairs in the worst case, yielding an expected end-to-end wall time of approximately one to two days assuming each job completes well within the six-hour budget. The six-hour walltime is intentionally generous; the completed smoke run confirms the CUDA/offline-cache path on a Tesla V100 32 GB, and the per-model matrix is expected to fit comfortably within the walltime.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Intended Results and Analysis Plan</w:t>
      </w:r>
    </w:p>
    <w:p>
      <w:pPr>
        <w:spacing w:after="160" w:line="300"/>
        <w:jc w:val="both"/>
      </w:pPr>
      <w:r>
        <w:rPr>
          <w:rFonts w:ascii="Calibri" w:cs="Calibri" w:eastAsia="Calibri" w:hAnsi="Calibri"/>
          <w:sz w:val="22"/>
          <w:szCs w:val="22"/>
        </w:rPr>
        <w:t xml:space="preserve">Experimental runs are pending submission on TC1 at the time of this interim report. This chapter documents the analysis plan and the structure into which the results will be slotted once the runs complete.</w:t>
      </w:r>
    </w:p>
    <w:p>
      <w:pPr>
        <w:pStyle w:val="Heading2"/>
        <w:spacing w:after="140" w:before="280"/>
      </w:pPr>
      <w:r>
        <w:rPr>
          <w:rFonts w:ascii="Calibri" w:cs="Calibri" w:eastAsia="Calibri" w:hAnsi="Calibri"/>
          <w:b/>
          <w:bCs/>
          <w:sz w:val="26"/>
          <w:szCs w:val="26"/>
        </w:rPr>
        <w:t xml:space="preserve">6.1 Reporting Schema</w:t>
      </w:r>
    </w:p>
    <w:p>
      <w:pPr>
        <w:spacing w:after="160" w:line="300"/>
        <w:jc w:val="both"/>
      </w:pPr>
      <w:r>
        <w:rPr>
          <w:rFonts w:ascii="Calibri" w:cs="Calibri" w:eastAsia="Calibri" w:hAnsi="Calibri"/>
          <w:sz w:val="22"/>
          <w:szCs w:val="22"/>
        </w:rPr>
        <w:t xml:space="preserve">For each of the three pairs, the final report will present a single results table summarising baseline and four-bit metric values, their absolute and relative deltas, and the interpretation label. The schema is shown in Table 6.1.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 (95% CI)</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 (95% CI)</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reporting schema. The (pending) cells will be populated by the TC1 runs.</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The within-family scale analysis will compare the three deltas (ΔASR, Δover-refusal, ΔMMLU) computed for the qwen_2b pair against those computed for the qwen_4b pair. Two specific patterns are expected to be observable. If the smaller model is more sensitive to compression, the absolute magnitude of its deltas should be systematically larger across the three axes. If the deltas are comparable, the conclusion will be that within this regime (two to four billion parameters), quantization effects are scale-invariant.</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shift: capability is preserved, but refusal calibration moves (either HarmBench ASR rises or XSTest over-refusal rises or both).</w:t>
      </w:r>
    </w:p>
    <w:p>
      <w:pPr>
        <w:pStyle w:val="ListParagraph"/>
        <w:numPr>
          <w:ilvl w:val="0"/>
          <w:numId w:val="2"/>
        </w:numPr>
        <w:spacing w:after="80" w:line="280"/>
      </w:pPr>
      <w:r>
        <w:rPr>
          <w:rFonts w:ascii="Calibri" w:cs="Calibri" w:eastAsia="Calibri" w:hAnsi="Calibri"/>
          <w:sz w:val="22"/>
          <w:szCs w:val="22"/>
        </w:rPr>
        <w:t xml:space="preserve">Capability-driven safety artifact: MMLU drops noticeably, and the safety metrics also move; the safety movement is attributed to capability collapse rather than to an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w:t>
      </w:r>
    </w:p>
    <w:p>
      <w:pPr>
        <w:pStyle w:val="ListParagraph"/>
        <w:numPr>
          <w:ilvl w:val="0"/>
          <w:numId w:val="2"/>
        </w:numPr>
        <w:spacing w:after="80" w:line="280"/>
      </w:pPr>
      <w:r>
        <w:rPr>
          <w:rFonts w:ascii="Calibri" w:cs="Calibri" w:eastAsia="Calibri" w:hAnsi="Calibri"/>
          <w:sz w:val="22"/>
          <w:szCs w:val="22"/>
        </w:rPr>
        <w:t xml:space="preserve">Broad degradation: capability and both safety metrics worsen simultaneously.</w:t>
      </w:r>
    </w:p>
    <w:p>
      <w:pPr>
        <w:spacing w:after="160" w:line="300"/>
        <w:jc w:val="both"/>
      </w:pPr>
      <w:r>
        <w:rPr>
          <w:rFonts w:ascii="Calibri" w:cs="Calibri" w:eastAsia="Calibri" w:hAnsi="Calibri"/>
          <w:sz w:val="22"/>
          <w:szCs w:val="22"/>
        </w:rPr>
        <w:t xml:space="preserve">This decomposition is the principal mechanism through which the study addresses the central research question.</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eventual results. First, with 400 samples per safety benchmark,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 A planned future-work item proposes re-running a subset of pairs at temperature 0.7 with multiple seeds to provide an independent estimate of stochastic variance.</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validated, and ready for full cluster execution. Three pairs (Qwen 2B-class, Qwen 4B, and Llama 3.2 3B) are configured, six sbatch files have been generated, Hugging Face gated access has been verified, all required datasets and model weights have been pre-cached on TC1, and the qwen_2b_base/HarmBench smoke sbatch has completed successfully on CUDA. The next operational step is submitting the full six-job matrix. The expected output is a set of pairwise deltas and interpretation labels that directly answer the five research questions, and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2026-05-27T07:52:09.845Z</dcterms:created>
  <dcterms:modified xsi:type="dcterms:W3CDTF">2026-05-27T07:52:09.845Z</dcterms:modified>
</cp:coreProperties>
</file>

<file path=docProps/custom.xml><?xml version="1.0" encoding="utf-8"?>
<Properties xmlns="http://schemas.openxmlformats.org/officeDocument/2006/custom-properties" xmlns:vt="http://schemas.openxmlformats.org/officeDocument/2006/docPropsVTypes"/>
</file>