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Times New Roman" w:cs="Times New Roman" w:eastAsia="Times New Roman" w:hAnsi="Times New Roman"/>
          <w:b/>
          <w:bCs/>
          <w:sz w:val="28"/>
          <w:szCs w:val="28"/>
        </w:rPr>
        <w:t xml:space="preserve">NANYANG TECHNOLOGICAL UNIVERSITY</w:t>
      </w:r>
    </w:p>
    <w:p>
      <w:pPr>
        <w:spacing w:after="600"/>
        <w:jc w:val="center"/>
      </w:pPr>
      <w:r>
        <w:rPr>
          <w:rFonts w:ascii="Times New Roman" w:cs="Times New Roman" w:eastAsia="Times New Roman" w:hAnsi="Times New Roman"/>
          <w:sz w:val="24"/>
          <w:szCs w:val="24"/>
        </w:rPr>
        <w:t xml:space="preserve">College of Computing and Data Science</w:t>
      </w:r>
    </w:p>
    <w:p>
      <w:pPr>
        <w:spacing w:after="80"/>
        <w:jc w:val="center"/>
      </w:pPr>
      <w:r>
        <w:rPr>
          <w:rFonts w:ascii="Times New Roman" w:cs="Times New Roman" w:eastAsia="Times New Roman" w:hAnsi="Times New Roman"/>
          <w:b/>
          <w:bCs/>
          <w:sz w:val="22"/>
          <w:szCs w:val="22"/>
        </w:rPr>
        <w:t xml:space="preserve">FINAL YEAR PROJECT</w:t>
      </w:r>
    </w:p>
    <w:p>
      <w:pPr>
        <w:spacing w:after="480"/>
        <w:jc w:val="center"/>
      </w:pPr>
      <w:r>
        <w:rPr>
          <w:rFonts w:ascii="Times New Roman" w:cs="Times New Roman" w:eastAsia="Times New Roman" w:hAnsi="Times New Roman"/>
          <w:i/>
          <w:iCs/>
          <w:sz w:val="22"/>
          <w:szCs w:val="22"/>
        </w:rPr>
        <w:t xml:space="preserve">Comprehensive Project Report</w:t>
      </w:r>
    </w:p>
    <w:p>
      <w:pPr>
        <w:spacing w:after="100"/>
        <w:jc w:val="center"/>
      </w:pPr>
      <w:r>
        <w:rPr>
          <w:rFonts w:ascii="Times New Roman" w:cs="Times New Roman" w:eastAsia="Times New Roman" w:hAnsi="Times New Roman"/>
          <w:b/>
          <w:bCs/>
          <w:sz w:val="32"/>
          <w:szCs w:val="32"/>
        </w:rPr>
        <w:t xml:space="preserve">Benchmarking Ethical Performance of Open-Source LLMs:</w:t>
      </w:r>
    </w:p>
    <w:p>
      <w:pPr>
        <w:spacing w:after="80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600"/>
        <w:jc w:val="center"/>
      </w:pPr>
      <w:r>
        <w:rPr>
          <w:rFonts w:ascii="Times New Roman" w:cs="Times New Roman" w:eastAsia="Times New Roman" w:hAnsi="Times New Roman"/>
          <w:sz w:val="22"/>
          <w:szCs w:val="22"/>
        </w:rPr>
        <w:t xml:space="preserve">Supervisor:  Dr. Zhang Jiehuang  (jiehuang.zhang@ntu.edu.sg)</w:t>
      </w:r>
    </w:p>
    <w:p>
      <w:pPr>
        <w:spacing w:after="100"/>
        <w:jc w:val="center"/>
      </w:pPr>
      <w:r>
        <w:rPr>
          <w:rFonts w:ascii="Times New Roman" w:cs="Times New Roman" w:eastAsia="Times New Roman" w:hAnsi="Times New Roman"/>
          <w:b/>
          <w:bCs/>
          <w:sz w:val="26"/>
          <w:szCs w:val="26"/>
        </w:rPr>
        <w:t xml:space="preserve">Document date:  2 July 2026</w:t>
      </w:r>
    </w:p>
    <w:p>
      <w:pPr>
        <w:spacing w:after="100"/>
        <w:jc w:val="center"/>
      </w:pPr>
      <w:r>
        <w:rPr>
          <w:rFonts w:ascii="Times New Roman" w:cs="Times New Roman" w:eastAsia="Times New Roman" w:hAnsi="Times New Roman"/>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 a shorter Interim Report (milestone deliverable, docs/FYP_Interim) and a condensed, IEEE-cited standalone Thesis (docs/FYP_Thesis).</w:t>
      </w:r>
    </w:p>
    <w:p>
      <w:r>
        <w:br w:type="page"/>
      </w:r>
    </w:p>
    <w:p>
      <w:pPr>
        <w:pStyle w:val="Heading1"/>
        <w:spacing w:after="200" w:before="36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2"/>
          <w:szCs w:val="22"/>
        </w:rPr>
        <w:t xml:space="preserve">I hereby declare that this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report — its research design, experimental methodology, analysis, and interpretation —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2"/>
          <w:szCs w:val="22"/>
        </w:rPr>
        <w:t xml:space="preserve">All experimental results reported here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2"/>
          <w:szCs w:val="22"/>
        </w:rPr>
        <w:t xml:space="preserve">_______________________________</w:t>
      </w:r>
    </w:p>
    <w:p>
      <w:pPr>
        <w:spacing w:after="120" w:line="360"/>
      </w:pPr>
      <w:r>
        <w:rPr>
          <w:rFonts w:ascii="Times New Roman" w:cs="Times New Roman" w:eastAsia="Times New Roman" w:hAnsi="Times New Roman"/>
          <w:sz w:val="22"/>
          <w:szCs w:val="22"/>
        </w:rPr>
        <w:t xml:space="preserve">Tan Uei Horng  (UTAN001)</w:t>
      </w:r>
    </w:p>
    <w:p>
      <w:pPr>
        <w:spacing w:after="120" w:line="360"/>
      </w:pPr>
      <w:r>
        <w:rPr>
          <w:rFonts w:ascii="Times New Roman" w:cs="Times New Roman" w:eastAsia="Times New Roman" w:hAnsi="Times New Roman"/>
          <w:sz w:val="22"/>
          <w:szCs w:val="22"/>
        </w:rPr>
        <w:t xml:space="preserve">College of Computing and Data Science, Nanyang Technological University</w:t>
      </w:r>
    </w:p>
    <w:p>
      <w:pPr>
        <w:spacing w:after="120" w:line="360"/>
      </w:pPr>
      <w:r>
        <w:rPr>
          <w:rFonts w:ascii="Times New Roman" w:cs="Times New Roman" w:eastAsia="Times New Roman" w:hAnsi="Times New Roman"/>
          <w:sz w:val="22"/>
          <w:szCs w:val="22"/>
        </w:rPr>
        <w:t xml:space="preserve">Date:  2 July 2026</w:t>
      </w:r>
    </w:p>
    <w:p>
      <w:r>
        <w:br w:type="page"/>
      </w:r>
    </w:p>
    <w:p>
      <w:pPr>
        <w:pStyle w:val="Heading1"/>
        <w:spacing w:after="200" w:before="36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2"/>
          <w:szCs w:val="22"/>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extensively during this project to assist with software implementation, automated test authoring, analysis scripting, documentation, and language editing, and to run the multi-agent audit workflows described in the appendices.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before="36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2"/>
          <w:szCs w:val="22"/>
        </w:rPr>
        <w:t xml:space="preserve">Compact instruction-tuned language models are commonly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60"/>
        <w:jc w:val="both"/>
      </w:pPr>
      <w:r>
        <w:rPr>
          <w:rFonts w:ascii="Times New Roman" w:cs="Times New Roman" w:eastAsia="Times New Roman" w:hAnsi="Times New Roman"/>
          <w:sz w:val="22"/>
          <w:szCs w:val="22"/>
        </w:rPr>
        <w:t xml:space="preserve">The design loads the baseline and quantized members of each pair from identical weights, applying quantization on the fly, so the paired contrast isolates the quantization step under the recorded matched-pair configuration.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 the disagreement is one-directional over-counting),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60"/>
        <w:jc w:val="both"/>
      </w:pPr>
      <w:r>
        <w:rPr>
          <w:rFonts w:ascii="Times New Roman" w:cs="Times New Roman" w:eastAsia="Times New Roman" w:hAnsi="Times New Roman"/>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 the latter itself scorer-dependent, since an independent three-class refusal judge does not reproduce it (§6.12).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Times New Roman" w:cs="Times New Roman" w:eastAsia="Times New Roman" w:hAnsi="Times New Roman"/>
          <w:b/>
          <w:bCs/>
          <w:sz w:val="32"/>
          <w:szCs w:val="32"/>
        </w:rPr>
        <w:t xml:space="preserve">List of Figures and Tables</w:t>
      </w:r>
    </w:p>
    <w:p>
      <w:pPr>
        <w:spacing w:after="60" w:line="360"/>
      </w:pPr>
      <w:r>
        <w:rPr>
          <w:rFonts w:ascii="Times New Roman" w:cs="Times New Roman" w:eastAsia="Times New Roman" w:hAnsi="Times New Roman"/>
          <w:sz w:val="22"/>
          <w:szCs w:val="22"/>
        </w:rPr>
        <w:t xml:space="preserve">Figure 1  Quantization effect on harmful compliance (per-pair judge ΔASR forest plot).</w:t>
      </w:r>
    </w:p>
    <w:p>
      <w:pPr>
        <w:spacing w:after="60" w:line="360"/>
      </w:pPr>
      <w:r>
        <w:rPr>
          <w:rFonts w:ascii="Times New Roman" w:cs="Times New Roman" w:eastAsia="Times New Roman" w:hAnsi="Times New Roman"/>
          <w:sz w:val="22"/>
          <w:szCs w:val="22"/>
        </w:rPr>
        <w:t xml:space="preserve">Figure 2  The capability-anchored safety space (ΔMMLU vs judge ΔASR, with label regions).</w:t>
      </w:r>
    </w:p>
    <w:p>
      <w:pPr>
        <w:spacing w:after="60" w:line="360"/>
      </w:pPr>
      <w:r>
        <w:rPr>
          <w:rFonts w:ascii="Times New Roman" w:cs="Times New Roman" w:eastAsia="Times New Roman" w:hAnsi="Times New Roman"/>
          <w:sz w:val="22"/>
          <w:szCs w:val="22"/>
        </w:rPr>
        <w:t xml:space="preserve">Figure 3  Multi-seed decoding sensitivity for Qwen3-1.7B (greedy vs stochastic).</w:t>
      </w:r>
    </w:p>
    <w:p>
      <w:pPr>
        <w:spacing w:after="60" w:line="360"/>
      </w:pPr>
      <w:r>
        <w:rPr>
          <w:rFonts w:ascii="Times New Roman" w:cs="Times New Roman" w:eastAsia="Times New Roman" w:hAnsi="Times New Roman"/>
          <w:sz w:val="22"/>
          <w:szCs w:val="22"/>
        </w:rPr>
        <w:t xml:space="preserve">Figure 4  Per-category HarmBench ASR for Qwen3-1.7B, fp16 vs NF4.</w:t>
      </w:r>
    </w:p>
    <w:p>
      <w:pPr>
        <w:spacing w:after="60" w:line="360"/>
      </w:pPr>
      <w:r>
        <w:rPr>
          <w:rFonts w:ascii="Times New Roman" w:cs="Times New Roman" w:eastAsia="Times New Roman" w:hAnsi="Times New Roman"/>
          <w:sz w:val="22"/>
          <w:szCs w:val="22"/>
        </w:rPr>
        <w:t xml:space="preserve">Figure 5  Scorer validation: judge ASR vs regex proxy, and judge-vs-proxy Cohen's κ.</w:t>
      </w:r>
    </w:p>
    <w:p>
      <w:pPr>
        <w:spacing w:after="60" w:line="360"/>
      </w:pPr>
      <w:r>
        <w:rPr>
          <w:rFonts w:ascii="Times New Roman" w:cs="Times New Roman" w:eastAsia="Times New Roman" w:hAnsi="Times New Roman"/>
          <w:sz w:val="22"/>
          <w:szCs w:val="22"/>
        </w:rPr>
        <w:t xml:space="preserve">Figure 6  Precision sweep fp16 → INT8 → NF4 (HarmBench ASR, MMLU, ARC).</w:t>
      </w:r>
    </w:p>
    <w:p>
      <w:pPr>
        <w:spacing w:after="60" w:line="360"/>
      </w:pPr>
      <w:r>
        <w:rPr>
          <w:rFonts w:ascii="Times New Roman" w:cs="Times New Roman" w:eastAsia="Times New Roman" w:hAnsi="Times New Roman"/>
          <w:sz w:val="22"/>
          <w:szCs w:val="22"/>
        </w:rPr>
        <w:t xml:space="preserve">Table 3.1  Model pair selection matrix.</w:t>
      </w:r>
    </w:p>
    <w:p>
      <w:pPr>
        <w:spacing w:after="60" w:line="360"/>
      </w:pPr>
      <w:r>
        <w:rPr>
          <w:rFonts w:ascii="Times New Roman" w:cs="Times New Roman" w:eastAsia="Times New Roman" w:hAnsi="Times New Roman"/>
          <w:sz w:val="22"/>
          <w:szCs w:val="22"/>
        </w:rPr>
        <w:t xml:space="preserve">Table 3.2  Benchmark selection, primary metrics, and sample budgets.</w:t>
      </w:r>
    </w:p>
    <w:p>
      <w:pPr>
        <w:spacing w:after="60" w:line="360"/>
      </w:pPr>
      <w:r>
        <w:rPr>
          <w:rFonts w:ascii="Times New Roman" w:cs="Times New Roman" w:eastAsia="Times New Roman" w:hAnsi="Times New Roman"/>
          <w:sz w:val="22"/>
          <w:szCs w:val="22"/>
        </w:rPr>
        <w:t xml:space="preserve">Table 3.3  Decoding controls used during inference.</w:t>
      </w:r>
    </w:p>
    <w:p>
      <w:pPr>
        <w:spacing w:after="60" w:line="360"/>
      </w:pPr>
      <w:r>
        <w:rPr>
          <w:rFonts w:ascii="Times New Roman" w:cs="Times New Roman" w:eastAsia="Times New Roman" w:hAnsi="Times New Roman"/>
          <w:sz w:val="22"/>
          <w:szCs w:val="22"/>
        </w:rPr>
        <w:t xml:space="preserve">Table 3.4  Interpretation labels derived from combined deltas.</w:t>
      </w:r>
    </w:p>
    <w:p>
      <w:pPr>
        <w:spacing w:after="60" w:line="360"/>
      </w:pPr>
      <w:r>
        <w:rPr>
          <w:rFonts w:ascii="Times New Roman" w:cs="Times New Roman" w:eastAsia="Times New Roman" w:hAnsi="Times New Roman"/>
          <w:sz w:val="22"/>
          <w:szCs w:val="22"/>
        </w:rPr>
        <w:t xml:space="preserve">Table 4.1  Repository module responsibilities.</w:t>
      </w:r>
    </w:p>
    <w:p>
      <w:pPr>
        <w:spacing w:after="60" w:line="360"/>
      </w:pPr>
      <w:r>
        <w:rPr>
          <w:rFonts w:ascii="Times New Roman" w:cs="Times New Roman" w:eastAsia="Times New Roman" w:hAnsi="Times New Roman"/>
          <w:sz w:val="22"/>
          <w:szCs w:val="22"/>
        </w:rPr>
        <w:t xml:space="preserve">Table 4.2  CLI subcommands exposed by fyp_cli.py.</w:t>
      </w:r>
    </w:p>
    <w:p>
      <w:pPr>
        <w:spacing w:after="60" w:line="360"/>
      </w:pPr>
      <w:r>
        <w:rPr>
          <w:rFonts w:ascii="Times New Roman" w:cs="Times New Roman" w:eastAsia="Times New Roman" w:hAnsi="Times New Roman"/>
          <w:sz w:val="22"/>
          <w:szCs w:val="22"/>
        </w:rPr>
        <w:t xml:space="preserve">Table 5.1  TC1 cluster hardware and policy parameters.</w:t>
      </w:r>
    </w:p>
    <w:p>
      <w:pPr>
        <w:spacing w:after="60" w:line="360"/>
      </w:pPr>
      <w:r>
        <w:rPr>
          <w:rFonts w:ascii="Times New Roman" w:cs="Times New Roman" w:eastAsia="Times New Roman" w:hAnsi="Times New Roman"/>
          <w:sz w:val="22"/>
          <w:szCs w:val="22"/>
        </w:rPr>
        <w:t xml:space="preserve">Table 5.2  Software environment versions on TC1.</w:t>
      </w:r>
    </w:p>
    <w:p>
      <w:pPr>
        <w:spacing w:after="60" w:line="360"/>
      </w:pPr>
      <w:r>
        <w:rPr>
          <w:rFonts w:ascii="Times New Roman" w:cs="Times New Roman" w:eastAsia="Times New Roman" w:hAnsi="Times New Roman"/>
          <w:sz w:val="22"/>
          <w:szCs w:val="22"/>
        </w:rPr>
        <w:t xml:space="preserve">Code listing 5.1  Head-node pre-cache invocation (scripts/prefetch_tc1.py).</w:t>
      </w:r>
    </w:p>
    <w:p>
      <w:pPr>
        <w:spacing w:after="60" w:line="360"/>
      </w:pPr>
      <w:r>
        <w:rPr>
          <w:rFonts w:ascii="Times New Roman" w:cs="Times New Roman" w:eastAsia="Times New Roman" w:hAnsi="Times New Roman"/>
          <w:sz w:val="22"/>
          <w:szCs w:val="22"/>
        </w:rPr>
        <w:t xml:space="preserve">Table 6.1  Per-pair benchmark results for all five model pairs with bootstrap 95% CIs.</w:t>
      </w:r>
    </w:p>
    <w:p>
      <w:pPr>
        <w:spacing w:after="60" w:line="360"/>
      </w:pPr>
      <w:r>
        <w:rPr>
          <w:rFonts w:ascii="Times New Roman" w:cs="Times New Roman" w:eastAsia="Times New Roman" w:hAnsi="Times New Roman"/>
          <w:sz w:val="22"/>
          <w:szCs w:val="22"/>
        </w:rPr>
        <w:t xml:space="preserve">Table 6.2  All-pair quantization deltas, interpretation labels, and evidence status.</w:t>
      </w:r>
    </w:p>
    <w:p>
      <w:pPr>
        <w:spacing w:after="60" w:line="360"/>
      </w:pPr>
      <w:r>
        <w:rPr>
          <w:rFonts w:ascii="Times New Roman" w:cs="Times New Roman" w:eastAsia="Times New Roman" w:hAnsi="Times New Roman"/>
          <w:sz w:val="22"/>
          <w:szCs w:val="22"/>
        </w:rPr>
        <w:t xml:space="preserve">Table 6.3  Judge vs v2 per-model agreement on HarmBench (n = 200 each).</w:t>
      </w:r>
    </w:p>
    <w:p>
      <w:pPr>
        <w:spacing w:after="60" w:line="360"/>
      </w:pPr>
      <w:r>
        <w:rPr>
          <w:rFonts w:ascii="Times New Roman" w:cs="Times New Roman" w:eastAsia="Times New Roman" w:hAnsi="Times New Roman"/>
          <w:sz w:val="22"/>
          <w:szCs w:val="22"/>
        </w:rPr>
        <w:t xml:space="preserve">Table 6.4  Exploratory per-pair XSTest over-refusal deltas under the independent three-class refusal judge.</w:t>
      </w:r>
    </w:p>
    <w:p>
      <w:pPr>
        <w:spacing w:after="60" w:line="360"/>
      </w:pPr>
      <w:r>
        <w:rPr>
          <w:rFonts w:ascii="Times New Roman" w:cs="Times New Roman" w:eastAsia="Times New Roman" w:hAnsi="Times New Roman"/>
          <w:sz w:val="22"/>
          <w:szCs w:val="22"/>
        </w:rPr>
        <w:t xml:space="preserve">Table 6.5  HarmBench ΔASR across the 128- and 512-token generation budgets.</w:t>
      </w:r>
    </w:p>
    <w:p>
      <w:pPr>
        <w:spacing w:after="60" w:line="360"/>
      </w:pPr>
      <w:r>
        <w:rPr>
          <w:rFonts w:ascii="Times New Roman" w:cs="Times New Roman" w:eastAsia="Times New Roman" w:hAnsi="Times New Roman"/>
          <w:sz w:val="22"/>
          <w:szCs w:val="22"/>
        </w:rPr>
        <w:t xml:space="preserve">Table D.1  Distribution of automated tests across modules.</w:t>
      </w:r>
    </w:p>
    <w:p>
      <w:pPr>
        <w:pStyle w:val="Heading1"/>
        <w:pageBreakBefore/>
        <w:spacing w:after="200" w:before="360"/>
      </w:pPr>
      <w:r>
        <w:rPr>
          <w:rFonts w:ascii="Times New Roman" w:cs="Times New Roman" w:eastAsia="Times New Roman" w:hAnsi="Times New Roman"/>
          <w:b/>
          <w:bCs/>
          <w:sz w:val="32"/>
          <w:szCs w:val="32"/>
        </w:rPr>
        <w:t xml:space="preserve">Chapter 1: Introduction</w:t>
      </w:r>
    </w:p>
    <w:p>
      <w:pPr>
        <w:pStyle w:val="Heading2"/>
        <w:spacing w:after="140" w:before="280"/>
      </w:pPr>
      <w:r>
        <w:rPr>
          <w:rFonts w:ascii="Times New Roman" w:cs="Times New Roman" w:eastAsia="Times New Roman" w:hAnsi="Times New Roman"/>
          <w:b/>
          <w:bCs/>
          <w:sz w:val="26"/>
          <w:szCs w:val="26"/>
        </w:rPr>
        <w:t xml:space="preserve">1.1 Background and Motivation</w:t>
      </w:r>
    </w:p>
    <w:p>
      <w:pPr>
        <w:spacing w:after="160" w:line="360"/>
        <w:jc w:val="both"/>
      </w:pPr>
      <w:r>
        <w:rPr>
          <w:rFonts w:ascii="Times New Roman" w:cs="Times New Roman" w:eastAsia="Times New Roman" w:hAnsi="Times New Roman"/>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60"/>
        <w:jc w:val="both"/>
      </w:pPr>
      <w:r>
        <w:rPr>
          <w:rFonts w:ascii="Times New Roman" w:cs="Times New Roman" w:eastAsia="Times New Roman" w:hAnsi="Times New Roman"/>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typically interact with a quantized variant, not the original baseline.</w:t>
      </w:r>
    </w:p>
    <w:p>
      <w:pPr>
        <w:spacing w:after="160" w:line="360"/>
        <w:jc w:val="both"/>
      </w:pPr>
      <w:r>
        <w:rPr>
          <w:rFonts w:ascii="Times New Roman" w:cs="Times New Roman" w:eastAsia="Times New Roman" w:hAnsi="Times New Roman"/>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Times New Roman" w:cs="Times New Roman" w:eastAsia="Times New Roman" w:hAnsi="Times New Roman"/>
          <w:b/>
          <w:bCs/>
          <w:sz w:val="26"/>
          <w:szCs w:val="26"/>
        </w:rPr>
        <w:t xml:space="preserve">1.2 Problem Statement</w:t>
      </w:r>
    </w:p>
    <w:p>
      <w:pPr>
        <w:spacing w:after="160" w:line="360"/>
        <w:jc w:val="both"/>
      </w:pPr>
      <w:r>
        <w:rPr>
          <w:rFonts w:ascii="Times New Roman" w:cs="Times New Roman" w:eastAsia="Times New Roman" w:hAnsi="Times New Roman"/>
          <w:sz w:val="22"/>
          <w:szCs w:val="22"/>
        </w:rPr>
        <w:t xml:space="preserve">This work addresses a single, deliberately scoped research problem:</w:t>
      </w:r>
    </w:p>
    <w:p>
      <w:pPr>
        <w:spacing w:after="200" w:before="80"/>
        <w:jc w:val="center"/>
      </w:pPr>
      <w:r>
        <w:rPr>
          <w:rFonts w:ascii="Times New Roman" w:cs="Times New Roman" w:eastAsia="Times New Roman" w:hAnsi="Times New Roman"/>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60"/>
        <w:jc w:val="both"/>
      </w:pPr>
      <w:r>
        <w:rPr>
          <w:rFonts w:ascii="Times New Roman" w:cs="Times New Roman" w:eastAsia="Times New Roman" w:hAnsi="Times New Roman"/>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Times New Roman" w:cs="Times New Roman" w:eastAsia="Times New Roman" w:hAnsi="Times New Roman"/>
          <w:b/>
          <w:bCs/>
          <w:sz w:val="26"/>
          <w:szCs w:val="26"/>
        </w:rPr>
        <w:t xml:space="preserve">1.3 Research Questions</w:t>
      </w:r>
    </w:p>
    <w:p>
      <w:pPr>
        <w:spacing w:after="160" w:line="360"/>
        <w:jc w:val="both"/>
      </w:pPr>
      <w:r>
        <w:rPr>
          <w:rFonts w:ascii="Times New Roman" w:cs="Times New Roman" w:eastAsia="Times New Roman" w:hAnsi="Times New Roman"/>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Times New Roman" w:cs="Times New Roman" w:eastAsia="Times New Roman" w:hAnsi="Times New Roman"/>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Times New Roman" w:cs="Times New Roman" w:eastAsia="Times New Roman" w:hAnsi="Times New Roman"/>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Times New Roman" w:cs="Times New Roman" w:eastAsia="Times New Roman" w:hAnsi="Times New Roman"/>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Times New Roman" w:cs="Times New Roman" w:eastAsia="Times New Roman" w:hAnsi="Times New Roman"/>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Times New Roman" w:cs="Times New Roman" w:eastAsia="Times New Roman" w:hAnsi="Times New Roman"/>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Times New Roman" w:cs="Times New Roman" w:eastAsia="Times New Roman" w:hAnsi="Times New Roman"/>
          <w:b/>
          <w:bCs/>
          <w:sz w:val="26"/>
          <w:szCs w:val="26"/>
        </w:rPr>
        <w:t xml:space="preserve">1.4 Scope and Boundaries</w:t>
      </w:r>
    </w:p>
    <w:p>
      <w:pPr>
        <w:spacing w:after="160" w:line="360"/>
        <w:jc w:val="both"/>
      </w:pPr>
      <w:r>
        <w:rPr>
          <w:rFonts w:ascii="Times New Roman" w:cs="Times New Roman" w:eastAsia="Times New Roman" w:hAnsi="Times New Roman"/>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Times New Roman" w:cs="Times New Roman" w:eastAsia="Times New Roman" w:hAnsi="Times New Roman"/>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Times New Roman" w:cs="Times New Roman" w:eastAsia="Times New Roman" w:hAnsi="Times New Roman"/>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Times New Roman" w:cs="Times New Roman" w:eastAsia="Times New Roman" w:hAnsi="Times New Roman"/>
          <w:sz w:val="22"/>
          <w:szCs w:val="22"/>
        </w:rPr>
        <w:t xml:space="preserve">Languages and modality. Evaluation is restricted to English-language, text-only interactions.</w:t>
      </w:r>
    </w:p>
    <w:p>
      <w:pPr>
        <w:pStyle w:val="ListParagraph"/>
        <w:numPr>
          <w:ilvl w:val="0"/>
          <w:numId w:val="2"/>
        </w:numPr>
        <w:spacing w:after="80" w:line="280"/>
      </w:pPr>
      <w:r>
        <w:rPr>
          <w:rFonts w:ascii="Times New Roman" w:cs="Times New Roman" w:eastAsia="Times New Roman" w:hAnsi="Times New Roman"/>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Times New Roman" w:cs="Times New Roman" w:eastAsia="Times New Roman" w:hAnsi="Times New Roman"/>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Times New Roman" w:cs="Times New Roman" w:eastAsia="Times New Roman" w:hAnsi="Times New Roman"/>
          <w:b/>
          <w:bCs/>
          <w:sz w:val="26"/>
          <w:szCs w:val="26"/>
        </w:rPr>
        <w:t xml:space="preserve">1.5 Contributions</w:t>
      </w:r>
    </w:p>
    <w:p>
      <w:pPr>
        <w:spacing w:after="160" w:line="360"/>
        <w:jc w:val="both"/>
      </w:pPr>
      <w:r>
        <w:rPr>
          <w:rFonts w:ascii="Times New Roman" w:cs="Times New Roman" w:eastAsia="Times New Roman" w:hAnsi="Times New Roman"/>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Times New Roman" w:cs="Times New Roman" w:eastAsia="Times New Roman" w:hAnsi="Times New Roman"/>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Times New Roman" w:cs="Times New Roman" w:eastAsia="Times New Roman" w:hAnsi="Times New Roman"/>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Times New Roman" w:cs="Times New Roman" w:eastAsia="Times New Roman" w:hAnsi="Times New Roman"/>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Times New Roman" w:cs="Times New Roman" w:eastAsia="Times New Roman" w:hAnsi="Times New Roman"/>
          <w:sz w:val="22"/>
          <w:szCs w:val="22"/>
        </w:rPr>
        <w:t xml:space="preserve">An open, reproducible benchmarking framework (approximately 8,900 lines of production Python and 4,600 lines of automated tests; 382 tests across twenty-nine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Times New Roman" w:cs="Times New Roman" w:eastAsia="Times New Roman" w:hAnsi="Times New Roman"/>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Times New Roman" w:cs="Times New Roman" w:eastAsia="Times New Roman" w:hAnsi="Times New Roman"/>
          <w:b/>
          <w:bCs/>
          <w:sz w:val="26"/>
          <w:szCs w:val="26"/>
        </w:rPr>
        <w:t xml:space="preserve">1.6 Report Structure</w:t>
      </w:r>
    </w:p>
    <w:p>
      <w:pPr>
        <w:spacing w:after="160" w:line="360"/>
        <w:jc w:val="both"/>
      </w:pPr>
      <w:r>
        <w:rPr>
          <w:rFonts w:ascii="Times New Roman" w:cs="Times New Roman" w:eastAsia="Times New Roman" w:hAnsi="Times New Roman"/>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Times New Roman" w:cs="Times New Roman" w:eastAsia="Times New Roman" w:hAnsi="Times New Roman"/>
          <w:b/>
          <w:bCs/>
          <w:sz w:val="32"/>
          <w:szCs w:val="32"/>
        </w:rPr>
        <w:t xml:space="preserve">Chapter 2: Literature Review</w:t>
      </w:r>
    </w:p>
    <w:p>
      <w:pPr>
        <w:pStyle w:val="Heading2"/>
        <w:spacing w:after="140" w:before="280"/>
      </w:pPr>
      <w:r>
        <w:rPr>
          <w:rFonts w:ascii="Times New Roman" w:cs="Times New Roman" w:eastAsia="Times New Roman" w:hAnsi="Times New Roman"/>
          <w:b/>
          <w:bCs/>
          <w:sz w:val="26"/>
          <w:szCs w:val="26"/>
        </w:rPr>
        <w:t xml:space="preserve">2.1 Large-Scale Ethical Benchmarking of LLMs</w:t>
      </w:r>
    </w:p>
    <w:p>
      <w:pPr>
        <w:spacing w:after="160" w:line="360"/>
        <w:jc w:val="both"/>
      </w:pPr>
      <w:r>
        <w:rPr>
          <w:rFonts w:ascii="Times New Roman" w:cs="Times New Roman" w:eastAsia="Times New Roman" w:hAnsi="Times New Roman"/>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60"/>
        <w:jc w:val="both"/>
      </w:pPr>
      <w:r>
        <w:rPr>
          <w:rFonts w:ascii="Times New Roman" w:cs="Times New Roman" w:eastAsia="Times New Roman" w:hAnsi="Times New Roman"/>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Times New Roman" w:cs="Times New Roman" w:eastAsia="Times New Roman" w:hAnsi="Times New Roman"/>
          <w:b/>
          <w:bCs/>
          <w:sz w:val="26"/>
          <w:szCs w:val="26"/>
        </w:rPr>
        <w:t xml:space="preserve">2.2 The Helpfulness–Harmlessness Trade-off</w:t>
      </w:r>
    </w:p>
    <w:p>
      <w:pPr>
        <w:spacing w:after="160" w:line="360"/>
        <w:jc w:val="both"/>
      </w:pPr>
      <w:r>
        <w:rPr>
          <w:rFonts w:ascii="Times New Roman" w:cs="Times New Roman" w:eastAsia="Times New Roman" w:hAnsi="Times New Roman"/>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60"/>
        <w:jc w:val="both"/>
      </w:pPr>
      <w:r>
        <w:rPr>
          <w:rFonts w:ascii="Times New Roman" w:cs="Times New Roman" w:eastAsia="Times New Roman" w:hAnsi="Times New Roman"/>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60"/>
        <w:jc w:val="both"/>
      </w:pPr>
      <w:r>
        <w:rPr>
          <w:rFonts w:ascii="Times New Roman" w:cs="Times New Roman" w:eastAsia="Times New Roman" w:hAnsi="Times New Roman"/>
          <w:sz w:val="22"/>
          <w:szCs w:val="22"/>
        </w:rPr>
        <w:t xml:space="preserve">MMLU [6], the Massive Multitask Language Understanding benchmark, has become a standard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Times New Roman" w:cs="Times New Roman" w:eastAsia="Times New Roman" w:hAnsi="Times New Roman"/>
          <w:b/>
          <w:bCs/>
          <w:sz w:val="26"/>
          <w:szCs w:val="26"/>
        </w:rPr>
        <w:t xml:space="preserve">2.3 Small Language Models and On-Device Deployment</w:t>
      </w:r>
    </w:p>
    <w:p>
      <w:pPr>
        <w:spacing w:after="160" w:line="360"/>
        <w:jc w:val="both"/>
      </w:pPr>
      <w:r>
        <w:rPr>
          <w:rFonts w:ascii="Times New Roman" w:cs="Times New Roman" w:eastAsia="Times New Roman" w:hAnsi="Times New Roman"/>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60"/>
        <w:jc w:val="both"/>
      </w:pPr>
      <w:r>
        <w:rPr>
          <w:rFonts w:ascii="Times New Roman" w:cs="Times New Roman" w:eastAsia="Times New Roman" w:hAnsi="Times New Roman"/>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Times New Roman" w:cs="Times New Roman" w:eastAsia="Times New Roman" w:hAnsi="Times New Roman"/>
          <w:b/>
          <w:bCs/>
          <w:sz w:val="26"/>
          <w:szCs w:val="26"/>
        </w:rPr>
        <w:t xml:space="preserve">2.4 Quantization and Behavioural Effects</w:t>
      </w:r>
    </w:p>
    <w:p>
      <w:pPr>
        <w:spacing w:after="160" w:line="360"/>
        <w:jc w:val="both"/>
      </w:pPr>
      <w:r>
        <w:rPr>
          <w:rFonts w:ascii="Times New Roman" w:cs="Times New Roman" w:eastAsia="Times New Roman" w:hAnsi="Times New Roman"/>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60"/>
        <w:jc w:val="both"/>
      </w:pPr>
      <w:r>
        <w:rPr>
          <w:rFonts w:ascii="Times New Roman" w:cs="Times New Roman" w:eastAsia="Times New Roman" w:hAnsi="Times New Roman"/>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60"/>
        <w:jc w:val="both"/>
      </w:pPr>
      <w:r>
        <w:rPr>
          <w:rFonts w:ascii="Times New Roman" w:cs="Times New Roman" w:eastAsia="Times New Roman" w:hAnsi="Times New Roman"/>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the present study's headline, Hong et al. [16] scrutinise trustworthiness across five compression methods and eight trust dimensions and report that 4-bit quantization broadly preserves trustworthiness — unlike pruning, which degrades it, and unlike more extreme 3-bit compression, where erosion appears — which is the nearest prior analogue to the null-safety-at-four-bit picture found here, although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Times New Roman" w:cs="Times New Roman" w:eastAsia="Times New Roman" w:hAnsi="Times New Roman"/>
          <w:b/>
          <w:bCs/>
          <w:sz w:val="26"/>
          <w:szCs w:val="26"/>
        </w:rPr>
        <w:t xml:space="preserve">2.5 Research Gaps Targeted by This Work</w:t>
      </w:r>
    </w:p>
    <w:p>
      <w:pPr>
        <w:spacing w:after="160" w:line="360"/>
        <w:jc w:val="both"/>
      </w:pPr>
      <w:r>
        <w:rPr>
          <w:rFonts w:ascii="Times New Roman" w:cs="Times New Roman" w:eastAsia="Times New Roman" w:hAnsi="Times New Roman"/>
          <w:sz w:val="22"/>
          <w:szCs w:val="22"/>
        </w:rPr>
        <w:t xml:space="preserve">Four interlocking gaps in the existing literature motivate the present study.</w:t>
      </w:r>
    </w:p>
    <w:p>
      <w:pPr>
        <w:pStyle w:val="ListParagraph"/>
        <w:numPr>
          <w:ilvl w:val="0"/>
          <w:numId w:val="4"/>
        </w:numPr>
        <w:spacing w:after="80" w:line="280"/>
      </w:pPr>
      <w:r>
        <w:rPr>
          <w:rFonts w:ascii="Times New Roman" w:cs="Times New Roman" w:eastAsia="Times New Roman" w:hAnsi="Times New Roman"/>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Times New Roman" w:cs="Times New Roman" w:eastAsia="Times New Roman" w:hAnsi="Times New Roman"/>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Times New Roman" w:cs="Times New Roman" w:eastAsia="Times New Roman" w:hAnsi="Times New Roman"/>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Times New Roman" w:cs="Times New Roman" w:eastAsia="Times New Roman" w:hAnsi="Times New Roman"/>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60"/>
        <w:jc w:val="both"/>
      </w:pPr>
      <w:r>
        <w:rPr>
          <w:rFonts w:ascii="Times New Roman" w:cs="Times New Roman" w:eastAsia="Times New Roman" w:hAnsi="Times New Roman"/>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Times New Roman" w:cs="Times New Roman" w:eastAsia="Times New Roman" w:hAnsi="Times New Roman"/>
          <w:b/>
          <w:bCs/>
          <w:sz w:val="32"/>
          <w:szCs w:val="32"/>
        </w:rPr>
        <w:t xml:space="preserve">Chapter 3: Methodology</w:t>
      </w:r>
    </w:p>
    <w:p>
      <w:pPr>
        <w:pStyle w:val="Heading2"/>
        <w:spacing w:after="140" w:before="280"/>
      </w:pPr>
      <w:r>
        <w:rPr>
          <w:rFonts w:ascii="Times New Roman" w:cs="Times New Roman" w:eastAsia="Times New Roman" w:hAnsi="Times New Roman"/>
          <w:b/>
          <w:bCs/>
          <w:sz w:val="26"/>
          <w:szCs w:val="26"/>
        </w:rPr>
        <w:t xml:space="preserve">3.1 Experimental Design</w:t>
      </w:r>
    </w:p>
    <w:p>
      <w:pPr>
        <w:spacing w:after="160" w:line="360"/>
        <w:jc w:val="both"/>
      </w:pPr>
      <w:r>
        <w:rPr>
          <w:rFonts w:ascii="Times New Roman" w:cs="Times New Roman" w:eastAsia="Times New Roman" w:hAnsi="Times New Roman"/>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60"/>
        <w:jc w:val="both"/>
      </w:pPr>
      <w:r>
        <w:rPr>
          <w:rFonts w:ascii="Times New Roman" w:cs="Times New Roman" w:eastAsia="Times New Roman" w:hAnsi="Times New Roman"/>
          <w:sz w:val="22"/>
          <w:szCs w:val="22"/>
        </w:rPr>
        <w:t xml:space="preserve">This design choice is the strongest internal-validity property of the study. By construction, both pair members share identical baseline weights, the same tokenizer, the same chat template, and the same release artifact. By construction this isolates the quantization step from checkpoint-provenance confounds — separate fine-tuning, conversion artifacts, or a re-uploaded checkpoint — so any observed delta is best attributed to quantization or to measurement noise rather than to a different underlying model. This is the strongest practical isolation available under the recorded matched-pair configuration; the exact runtime environment is a separate, documented reproducibility caveat (Chapter 8), not a confound this design removes. The on-the-fly NF4 path is the most direct way to operationalise the counterfactual "the same model, quantized" in code.</w:t>
      </w:r>
    </w:p>
    <w:p>
      <w:pPr>
        <w:spacing w:after="160" w:line="360"/>
        <w:jc w:val="both"/>
      </w:pPr>
      <w:r>
        <w:rPr>
          <w:rFonts w:ascii="Times New Roman" w:cs="Times New Roman" w:eastAsia="Times New Roman" w:hAnsi="Times New Roman"/>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Times New Roman" w:cs="Times New Roman" w:eastAsia="Times New Roman" w:hAnsi="Times New Roman"/>
          <w:b/>
          <w:bCs/>
          <w:sz w:val="26"/>
          <w:szCs w:val="26"/>
        </w:rPr>
        <w:t xml:space="preserve">3.2 Model Selection</w:t>
      </w:r>
    </w:p>
    <w:p>
      <w:pPr>
        <w:spacing w:after="160" w:line="360"/>
        <w:jc w:val="both"/>
      </w:pPr>
      <w:r>
        <w:rPr>
          <w:rFonts w:ascii="Times New Roman" w:cs="Times New Roman" w:eastAsia="Times New Roman" w:hAnsi="Times New Roman"/>
          <w:sz w:val="22"/>
          <w:szCs w:val="22"/>
        </w:rPr>
        <w:t xml:space="preserve">Three model pairs form the primary controlled design. The Qwen pairs at 1.7 billion and four billion parameters [17] serve as the primary within-family comparison and provide both a quantization axis and a scale axis. The Llama 3.2 3B pair [18] sits between them by parameter count and serves as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bl>
    <w:p>
      <w:pPr>
        <w:spacing w:after="120" w:line="360"/>
      </w:pPr>
      <w:r>
        <w:rPr>
          <w:rFonts w:ascii="Times New Roman" w:cs="Times New Roman" w:eastAsia="Times New Roman" w:hAnsi="Times New Roman"/>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60"/>
        <w:jc w:val="both"/>
      </w:pPr>
      <w:r>
        <w:rPr>
          <w:rFonts w:ascii="Times New Roman" w:cs="Times New Roman" w:eastAsia="Times New Roman" w:hAnsi="Times New Roman"/>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Times New Roman" w:cs="Times New Roman" w:eastAsia="Times New Roman" w:hAnsi="Times New Roman"/>
          <w:b/>
          <w:bCs/>
          <w:sz w:val="26"/>
          <w:szCs w:val="26"/>
        </w:rPr>
        <w:t xml:space="preserve">3.3 Quantization Approach</w:t>
      </w:r>
    </w:p>
    <w:p>
      <w:pPr>
        <w:spacing w:after="160" w:line="360"/>
        <w:jc w:val="both"/>
      </w:pPr>
      <w:r>
        <w:rPr>
          <w:rFonts w:ascii="Times New Roman" w:cs="Times New Roman" w:eastAsia="Times New Roman" w:hAnsi="Times New Roman"/>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60"/>
        <w:jc w:val="both"/>
      </w:pPr>
      <w:r>
        <w:rPr>
          <w:rFonts w:ascii="Times New Roman" w:cs="Times New Roman" w:eastAsia="Times New Roman" w:hAnsi="Times New Roman"/>
          <w:sz w:val="22"/>
          <w:szCs w:val="22"/>
        </w:rPr>
        <w:t xml:space="preserve">Four-bit loading is forbidden on a CPU runtime: the loader raises a clear error when quantized is true and the resolved runtime device is not cuda. After load, the loader verifies that quantization actually engaged — checking is_loaded_in_4bit, is_loaded_in_8bit, is_quantized, and the presence of an hf_quantizer — and raises a RuntimeError refusing to proceed if none of those signals is set, so a silently unquantized load cannot be mislabelled as quantized.</w:t>
      </w:r>
    </w:p>
    <w:p>
      <w:pPr>
        <w:spacing w:after="160" w:line="360"/>
        <w:jc w:val="both"/>
      </w:pPr>
      <w:r>
        <w:rPr>
          <w:rFonts w:ascii="Times New Roman" w:cs="Times New Roman" w:eastAsia="Times New Roman" w:hAnsi="Times New Roman"/>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Times New Roman" w:cs="Times New Roman" w:eastAsia="Times New Roman" w:hAnsi="Times New Roman"/>
          <w:b/>
          <w:bCs/>
          <w:sz w:val="26"/>
          <w:szCs w:val="26"/>
        </w:rPr>
        <w:t xml:space="preserve">3.4 Benchmark Selection and Mapping</w:t>
      </w:r>
    </w:p>
    <w:p>
      <w:pPr>
        <w:spacing w:after="160" w:line="360"/>
        <w:jc w:val="both"/>
      </w:pPr>
      <w:r>
        <w:rPr>
          <w:rFonts w:ascii="Times New Roman" w:cs="Times New Roman" w:eastAsia="Times New Roman" w:hAnsi="Times New Roman"/>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1,172 questions</w:t>
            </w:r>
          </w:p>
        </w:tc>
      </w:tr>
    </w:tbl>
    <w:p>
      <w:pPr>
        <w:spacing w:after="120" w:line="360"/>
      </w:pPr>
      <w:r>
        <w:rPr>
          <w:rFonts w:ascii="Times New Roman" w:cs="Times New Roman" w:eastAsia="Times New Roman" w:hAnsi="Times New Roman"/>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60"/>
        <w:jc w:val="both"/>
      </w:pPr>
      <w:r>
        <w:rPr>
          <w:rFonts w:ascii="Times New Roman" w:cs="Times New Roman" w:eastAsia="Times New Roman" w:hAnsi="Times New Roman"/>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60"/>
        <w:jc w:val="both"/>
      </w:pPr>
      <w:r>
        <w:rPr>
          <w:rFonts w:ascii="Times New Roman" w:cs="Times New Roman" w:eastAsia="Times New Roman" w:hAnsi="Times New Roman"/>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Times New Roman" w:cs="Times New Roman" w:eastAsia="Times New Roman" w:hAnsi="Times New Roman"/>
          <w:b/>
          <w:bCs/>
          <w:sz w:val="26"/>
          <w:szCs w:val="26"/>
        </w:rPr>
        <w:t xml:space="preserve">3.5 Scoring: Refusal Detection and the HarmBench Classifier</w:t>
      </w:r>
    </w:p>
    <w:p>
      <w:pPr>
        <w:spacing w:after="160" w:line="360"/>
        <w:jc w:val="both"/>
      </w:pPr>
      <w:r>
        <w:rPr>
          <w:rFonts w:ascii="Times New Roman" w:cs="Times New Roman" w:eastAsia="Times New Roman" w:hAnsi="Times New Roman"/>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60"/>
        <w:jc w:val="both"/>
      </w:pPr>
      <w:r>
        <w:rPr>
          <w:rFonts w:ascii="Times New Roman" w:cs="Times New Roman" w:eastAsia="Times New Roman" w:hAnsi="Times New Roman"/>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60"/>
        <w:jc w:val="both"/>
      </w:pPr>
      <w:r>
        <w:rPr>
          <w:rFonts w:ascii="Times New Roman" w:cs="Times New Roman" w:eastAsia="Times New Roman" w:hAnsi="Times New Roman"/>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retains deterministic regex parsing as the primary over-refusal scorer — a deliberate, reproducibility-motivated deviation that yields a coarser binary (refusal / non-refusal) construct — and additionally cross-checks it with exactly such an LLM three-class refusal judge as a sensitivity layer (§6.12, Result 6): that check finds the one multiplicity-robust over-refusal contrast to be scorer-dependent, and a human-labelled refusal gold set remains the residual strengthening acknowledged in the Limitations chapter.</w:t>
      </w:r>
    </w:p>
    <w:p>
      <w:pPr>
        <w:pStyle w:val="Heading2"/>
        <w:spacing w:after="140" w:before="280"/>
      </w:pPr>
      <w:r>
        <w:rPr>
          <w:rFonts w:ascii="Times New Roman" w:cs="Times New Roman" w:eastAsia="Times New Roman" w:hAnsi="Times New Roman"/>
          <w:b/>
          <w:bCs/>
          <w:sz w:val="26"/>
          <w:szCs w:val="26"/>
        </w:rPr>
        <w:t xml:space="preserve">3.6 Decoding Controls</w:t>
      </w:r>
    </w:p>
    <w:p>
      <w:pPr>
        <w:spacing w:after="160" w:line="360"/>
        <w:jc w:val="both"/>
      </w:pPr>
      <w:r>
        <w:rPr>
          <w:rFonts w:ascii="Times New Roman" w:cs="Times New Roman" w:eastAsia="Times New Roman" w:hAnsi="Times New Roman"/>
          <w:sz w:val="22"/>
          <w:szCs w:val="22"/>
        </w:rPr>
        <w:t xml:space="preserve">All inference runs share identical decoding parameters, applied uniformly across baseline and quantized members of every pair. Table 3.3 lists the parameters.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Critical: disables Qwen3.x default thinking mode so the 512-token reference budget is not consumed by &lt;thinking&gt; blocks before the answer.</w:t>
            </w:r>
          </w:p>
        </w:tc>
      </w:tr>
    </w:tbl>
    <w:p>
      <w:pPr>
        <w:spacing w:after="120" w:line="360"/>
      </w:pPr>
      <w:r>
        <w:rPr>
          <w:rFonts w:ascii="Times New Roman" w:cs="Times New Roman" w:eastAsia="Times New Roman" w:hAnsi="Times New Roman"/>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Times New Roman" w:cs="Times New Roman" w:eastAsia="Times New Roman" w:hAnsi="Times New Roman"/>
          <w:b/>
          <w:bCs/>
          <w:sz w:val="26"/>
          <w:szCs w:val="26"/>
        </w:rPr>
        <w:t xml:space="preserve">3.7 Metrics and Pairwise Analysis</w:t>
      </w:r>
    </w:p>
    <w:p>
      <w:pPr>
        <w:spacing w:after="160" w:line="360"/>
        <w:jc w:val="both"/>
      </w:pPr>
      <w:r>
        <w:rPr>
          <w:rFonts w:ascii="Times New Roman" w:cs="Times New Roman" w:eastAsia="Times New Roman" w:hAnsi="Times New Roman"/>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60"/>
        <w:jc w:val="both"/>
      </w:pPr>
      <w:r>
        <w:rPr>
          <w:rFonts w:ascii="Times New Roman" w:cs="Times New Roman" w:eastAsia="Times New Roman" w:hAnsi="Times New Roman"/>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60"/>
        <w:jc w:val="both"/>
      </w:pPr>
      <w:r>
        <w:rPr>
          <w:rFonts w:ascii="Times New Roman" w:cs="Times New Roman" w:eastAsia="Times New Roman" w:hAnsi="Times New Roman"/>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60"/>
        <w:jc w:val="both"/>
      </w:pPr>
      <w:r>
        <w:rPr>
          <w:rFonts w:ascii="Times New Roman" w:cs="Times New Roman" w:eastAsia="Times New Roman" w:hAnsi="Times New Roman"/>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 XSTest over-refusal, MMLU, and ARC — in the multiple-comparisons analysis (results_512/analysis/multiple_comparisons.json; §6.5.1), and where the bootstrap CI and the exact test disagree at the margin, the exact test is taken as the significance criterion and the delta is reported as borderline. At the corrected over-refusal scoring no contrast in the study now sits in that margin: the previously-borderline Qwen3-1.7B over-refusal decrease resolves to non-significant on both criteria (ΔOR −0.024; bootstrap CI [−0.048, 0.000] no longer excludes zero, and McNemar's exact p = 0.109 on the 10 discordant prompts).</w:t>
      </w:r>
    </w:p>
    <w:p>
      <w:pPr>
        <w:pStyle w:val="Heading2"/>
        <w:spacing w:after="140" w:before="280"/>
      </w:pPr>
      <w:r>
        <w:rPr>
          <w:rFonts w:ascii="Times New Roman" w:cs="Times New Roman" w:eastAsia="Times New Roman" w:hAnsi="Times New Roman"/>
          <w:b/>
          <w:bCs/>
          <w:sz w:val="26"/>
          <w:szCs w:val="26"/>
        </w:rPr>
        <w:t xml:space="preserve">3.8 Interpretation Framework</w:t>
      </w:r>
    </w:p>
    <w:p>
      <w:pPr>
        <w:spacing w:after="160" w:line="360"/>
        <w:jc w:val="both"/>
      </w:pPr>
      <w:r>
        <w:rPr>
          <w:rFonts w:ascii="Times New Roman" w:cs="Times New Roman" w:eastAsia="Times New Roman" w:hAnsi="Times New Roman"/>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Compound degradation not captured by the more specific labels; typically capability drops beyond tolerance alongside an inconclusive safety direction.</w:t>
            </w:r>
          </w:p>
        </w:tc>
      </w:tr>
    </w:tbl>
    <w:p>
      <w:pPr>
        <w:spacing w:after="120" w:line="360"/>
      </w:pPr>
      <w:r>
        <w:rPr>
          <w:rFonts w:ascii="Times New Roman" w:cs="Times New Roman" w:eastAsia="Times New Roman" w:hAnsi="Times New Roman"/>
          <w:sz w:val="18"/>
          <w:szCs w:val="18"/>
        </w:rPr>
        <w:t xml:space="preserve">Table 3.4  Interpretation labels derived from combined deltas. Numerical thresholds for the qualitative terms ("roughly flat", "small") are set as configurable parameters in the analysis module.</w:t>
      </w:r>
    </w:p>
    <w:p>
      <w:pPr>
        <w:spacing w:after="160" w:line="360"/>
        <w:jc w:val="both"/>
      </w:pPr>
      <w:r>
        <w:rPr>
          <w:rFonts w:ascii="Times New Roman" w:cs="Times New Roman" w:eastAsia="Times New Roman" w:hAnsi="Times New Roman"/>
          <w:sz w:val="22"/>
          <w:szCs w:val="22"/>
        </w:rPr>
        <w:t xml:space="preserve">Boundary convention. The thresholds are inclusive: a ΔASR of exactly +0.02 classifies as alignment_degradation and exactly −0.02 as alignment_improvement (the delta is rounded to remove float-representation noise, so an exactly-on-tolerance k/200 proportion difference classifies by its true value rather than a 1e-17 residue). Two pairs sit exactly on the ±0.02 harm tolerance — Phi-4-mini +0.020 (alignment_degradation) and Mistral-7B −0.020 (alignment_improvement) — and both are statistically non-significant (95% CI includes zero; McNemar p = 0.424 and 0.627 respectively), so each carries an evidence status of directional rather than confirmed. The label states the point-estimate direction; the evidence status is what separates a confirmed move from a directional, on-the-boundary one, and for both of these pairs the harm change is not statistically distinguishable from zero.</w:t>
      </w:r>
    </w:p>
    <w:p>
      <w:pPr>
        <w:spacing w:after="160" w:line="360"/>
        <w:jc w:val="both"/>
      </w:pPr>
      <w:r>
        <w:rPr>
          <w:rFonts w:ascii="Times New Roman" w:cs="Times New Roman" w:eastAsia="Times New Roman" w:hAnsi="Times New Roman"/>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Times New Roman" w:cs="Times New Roman" w:eastAsia="Times New Roman" w:hAnsi="Times New Roman"/>
          <w:b/>
          <w:bCs/>
          <w:sz w:val="26"/>
          <w:szCs w:val="26"/>
        </w:rPr>
        <w:t xml:space="preserve">3.9 Reproducibility Controls</w:t>
      </w:r>
    </w:p>
    <w:p>
      <w:pPr>
        <w:spacing w:after="160" w:line="360"/>
        <w:jc w:val="both"/>
      </w:pPr>
      <w:r>
        <w:rPr>
          <w:rFonts w:ascii="Times New Roman" w:cs="Times New Roman" w:eastAsia="Times New Roman" w:hAnsi="Times New Roman"/>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60"/>
        <w:jc w:val="both"/>
      </w:pPr>
      <w:r>
        <w:rPr>
          <w:rFonts w:ascii="Times New Roman" w:cs="Times New Roman" w:eastAsia="Times New Roman" w:hAnsi="Times New Roman"/>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60"/>
        <w:jc w:val="both"/>
      </w:pPr>
      <w:r>
        <w:rPr>
          <w:rFonts w:ascii="Times New Roman" w:cs="Times New Roman" w:eastAsia="Times New Roman" w:hAnsi="Times New Roman"/>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Times New Roman" w:cs="Times New Roman" w:eastAsia="Times New Roman" w:hAnsi="Times New Roman"/>
          <w:b/>
          <w:bCs/>
          <w:sz w:val="32"/>
          <w:szCs w:val="32"/>
        </w:rPr>
        <w:t xml:space="preserve">Chapter 4: System Design and Implementation</w:t>
      </w:r>
    </w:p>
    <w:p>
      <w:pPr>
        <w:pStyle w:val="Heading2"/>
        <w:spacing w:after="140" w:before="280"/>
      </w:pPr>
      <w:r>
        <w:rPr>
          <w:rFonts w:ascii="Times New Roman" w:cs="Times New Roman" w:eastAsia="Times New Roman" w:hAnsi="Times New Roman"/>
          <w:b/>
          <w:bCs/>
          <w:sz w:val="26"/>
          <w:szCs w:val="26"/>
        </w:rPr>
        <w:t xml:space="preserve">4.1 Architecture Overview</w:t>
      </w:r>
    </w:p>
    <w:p>
      <w:pPr>
        <w:spacing w:after="160" w:line="360"/>
        <w:jc w:val="both"/>
      </w:pPr>
      <w:r>
        <w:rPr>
          <w:rFonts w:ascii="Times New Roman" w:cs="Times New Roman" w:eastAsia="Times New Roman" w:hAnsi="Times New Roman"/>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Pluggable benchmark interface: base.py (ABC), harmbench.py, xstest.py, mmlu.py, arc.py, registry.py, and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Unified CLI entrypoint exposing all workflows.</w:t>
            </w:r>
          </w:p>
        </w:tc>
      </w:tr>
    </w:tbl>
    <w:p>
      <w:pPr>
        <w:spacing w:after="120" w:line="360"/>
      </w:pPr>
      <w:r>
        <w:rPr>
          <w:rFonts w:ascii="Times New Roman" w:cs="Times New Roman" w:eastAsia="Times New Roman" w:hAnsi="Times New Roman"/>
          <w:sz w:val="18"/>
          <w:szCs w:val="18"/>
        </w:rPr>
        <w:t xml:space="preserve">Table 4.1  Repository module responsibilities.</w:t>
      </w:r>
    </w:p>
    <w:p>
      <w:pPr>
        <w:pStyle w:val="Heading2"/>
        <w:spacing w:after="140" w:before="280"/>
      </w:pPr>
      <w:r>
        <w:rPr>
          <w:rFonts w:ascii="Times New Roman" w:cs="Times New Roman" w:eastAsia="Times New Roman" w:hAnsi="Times New Roman"/>
          <w:b/>
          <w:bCs/>
          <w:sz w:val="26"/>
          <w:szCs w:val="26"/>
        </w:rPr>
        <w:t xml:space="preserve">4.2 Configuration Schema</w:t>
      </w:r>
    </w:p>
    <w:p>
      <w:pPr>
        <w:spacing w:after="160" w:line="360"/>
        <w:jc w:val="both"/>
      </w:pPr>
      <w:r>
        <w:rPr>
          <w:rFonts w:ascii="Times New Roman" w:cs="Times New Roman" w:eastAsia="Times New Roman" w:hAnsi="Times New Roman"/>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60"/>
        <w:jc w:val="both"/>
      </w:pPr>
      <w:r>
        <w:rPr>
          <w:rFonts w:ascii="Times New Roman" w:cs="Times New Roman" w:eastAsia="Times New Roman" w:hAnsi="Times New Roman"/>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60"/>
        <w:jc w:val="both"/>
      </w:pPr>
      <w:r>
        <w:rPr>
          <w:rFonts w:ascii="Times New Roman" w:cs="Times New Roman" w:eastAsia="Times New Roman" w:hAnsi="Times New Roman"/>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Times New Roman" w:cs="Times New Roman" w:eastAsia="Times New Roman" w:hAnsi="Times New Roman"/>
          <w:b/>
          <w:bCs/>
          <w:sz w:val="26"/>
          <w:szCs w:val="26"/>
        </w:rPr>
        <w:t xml:space="preserve">4.3 Model Loading and Quantization Path</w:t>
      </w:r>
    </w:p>
    <w:p>
      <w:pPr>
        <w:spacing w:after="160" w:line="360"/>
        <w:jc w:val="both"/>
      </w:pPr>
      <w:r>
        <w:rPr>
          <w:rFonts w:ascii="Times New Roman" w:cs="Times New Roman" w:eastAsia="Times New Roman" w:hAnsi="Times New Roman"/>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60"/>
        <w:jc w:val="both"/>
      </w:pPr>
      <w:r>
        <w:rPr>
          <w:rFonts w:ascii="Times New Roman" w:cs="Times New Roman" w:eastAsia="Times New Roman" w:hAnsi="Times New Roman"/>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60"/>
        <w:jc w:val="both"/>
      </w:pPr>
      <w:r>
        <w:rPr>
          <w:rFonts w:ascii="Times New Roman" w:cs="Times New Roman" w:eastAsia="Times New Roman" w:hAnsi="Times New Roman"/>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from_pretrained returns, the loader checks four supported quantization signals: is_loaded_in_4bit, is_loaded_in_8bit, is_quantized, and hf_quantizer. If quantization was requested but none is present, it raises RuntimeError and refuses to proceed, preventing full-precision outputs from being silently recorded as NF4 or INT8 results.</w:t>
      </w:r>
    </w:p>
    <w:p>
      <w:pPr>
        <w:pStyle w:val="Heading2"/>
        <w:spacing w:after="140" w:before="280"/>
      </w:pPr>
      <w:r>
        <w:rPr>
          <w:rFonts w:ascii="Times New Roman" w:cs="Times New Roman" w:eastAsia="Times New Roman" w:hAnsi="Times New Roman"/>
          <w:b/>
          <w:bCs/>
          <w:sz w:val="26"/>
          <w:szCs w:val="26"/>
        </w:rPr>
        <w:t xml:space="preserve">4.4 Generation Pipeline</w:t>
      </w:r>
    </w:p>
    <w:p>
      <w:pPr>
        <w:spacing w:after="160" w:line="360"/>
        <w:jc w:val="both"/>
      </w:pPr>
      <w:r>
        <w:rPr>
          <w:rFonts w:ascii="Times New Roman" w:cs="Times New Roman" w:eastAsia="Times New Roman" w:hAnsi="Times New Roman"/>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60"/>
        <w:jc w:val="both"/>
      </w:pPr>
      <w:r>
        <w:rPr>
          <w:rFonts w:ascii="Times New Roman" w:cs="Times New Roman" w:eastAsia="Times New Roman" w:hAnsi="Times New Roman"/>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60"/>
        <w:jc w:val="both"/>
      </w:pPr>
      <w:r>
        <w:rPr>
          <w:rFonts w:ascii="Times New Roman" w:cs="Times New Roman" w:eastAsia="Times New Roman" w:hAnsi="Times New Roman"/>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Times New Roman" w:cs="Times New Roman" w:eastAsia="Times New Roman" w:hAnsi="Times New Roman"/>
          <w:b/>
          <w:bCs/>
          <w:sz w:val="26"/>
          <w:szCs w:val="26"/>
        </w:rPr>
        <w:t xml:space="preserve">4.5 Benchmark Plugins</w:t>
      </w:r>
    </w:p>
    <w:p>
      <w:pPr>
        <w:spacing w:after="160" w:line="360"/>
        <w:jc w:val="both"/>
      </w:pPr>
      <w:r>
        <w:rPr>
          <w:rFonts w:ascii="Times New Roman" w:cs="Times New Roman" w:eastAsia="Times New Roman" w:hAnsi="Times New Roman"/>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60"/>
        <w:jc w:val="both"/>
      </w:pPr>
      <w:r>
        <w:rPr>
          <w:rFonts w:ascii="Times New Roman" w:cs="Times New Roman" w:eastAsia="Times New Roman" w:hAnsi="Times New Roman"/>
          <w:sz w:val="22"/>
          <w:szCs w:val="22"/>
        </w:rPr>
        <w:t xml:space="preserve">The deterministic refusal layer is shared through benchmarks/utils.py, whose match_refusal_pattern function returns the matched pattern and whose is_refusal_response wrapper returns the boolean decision. XSTest uses this layer for its primary over-refusal score, while HarmBench retains it only for the secondary v2 non-refusal proxy; HarmBench's primary Attack Success Rate is scored by the official classifier. Centralising the regex layer keeps the two refusal-based measurements consistent without conflating that proxy with the classifier-primary safety endpoint.</w:t>
      </w:r>
    </w:p>
    <w:p>
      <w:pPr>
        <w:spacing w:after="160" w:line="360"/>
        <w:jc w:val="both"/>
      </w:pPr>
      <w:r>
        <w:rPr>
          <w:rFonts w:ascii="Times New Roman" w:cs="Times New Roman" w:eastAsia="Times New Roman" w:hAnsi="Times New Roman"/>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Times New Roman" w:cs="Times New Roman" w:eastAsia="Times New Roman" w:hAnsi="Times New Roman"/>
          <w:b/>
          <w:bCs/>
          <w:sz w:val="26"/>
          <w:szCs w:val="26"/>
        </w:rPr>
        <w:t xml:space="preserve">4.6 Matrix Orchestration and Memory Management</w:t>
      </w:r>
    </w:p>
    <w:p>
      <w:pPr>
        <w:spacing w:after="160" w:line="360"/>
        <w:jc w:val="both"/>
      </w:pPr>
      <w:r>
        <w:rPr>
          <w:rFonts w:ascii="Times New Roman" w:cs="Times New Roman" w:eastAsia="Times New Roman" w:hAnsi="Times New Roman"/>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60"/>
        <w:jc w:val="both"/>
      </w:pPr>
      <w:r>
        <w:rPr>
          <w:rFonts w:ascii="Times New Roman" w:cs="Times New Roman" w:eastAsia="Times New Roman" w:hAnsi="Times New Roman"/>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Times New Roman" w:cs="Times New Roman" w:eastAsia="Times New Roman" w:hAnsi="Times New Roman"/>
          <w:b/>
          <w:bCs/>
          <w:sz w:val="26"/>
          <w:szCs w:val="26"/>
        </w:rPr>
        <w:t xml:space="preserve">4.7 Resume and Checkpointing</w:t>
      </w:r>
    </w:p>
    <w:p>
      <w:pPr>
        <w:spacing w:after="160" w:line="360"/>
        <w:jc w:val="both"/>
      </w:pPr>
      <w:r>
        <w:rPr>
          <w:rFonts w:ascii="Times New Roman" w:cs="Times New Roman" w:eastAsia="Times New Roman" w:hAnsi="Times New Roman"/>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60"/>
        <w:jc w:val="both"/>
      </w:pPr>
      <w:r>
        <w:rPr>
          <w:rFonts w:ascii="Times New Roman" w:cs="Times New Roman" w:eastAsia="Times New Roman" w:hAnsi="Times New Roman"/>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Times New Roman" w:cs="Times New Roman" w:eastAsia="Times New Roman" w:hAnsi="Times New Roman"/>
          <w:b/>
          <w:bCs/>
          <w:sz w:val="26"/>
          <w:szCs w:val="26"/>
        </w:rPr>
        <w:t xml:space="preserve">4.8 SLURM Job Generation</w:t>
      </w:r>
    </w:p>
    <w:p>
      <w:pPr>
        <w:spacing w:after="160" w:line="360"/>
        <w:jc w:val="both"/>
      </w:pPr>
      <w:r>
        <w:rPr>
          <w:rFonts w:ascii="Times New Roman" w:cs="Times New Roman" w:eastAsia="Times New Roman" w:hAnsi="Times New Roman"/>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60"/>
        <w:jc w:val="both"/>
      </w:pPr>
      <w:r>
        <w:rPr>
          <w:rFonts w:ascii="Times New Roman" w:cs="Times New Roman" w:eastAsia="Times New Roman" w:hAnsi="Times New Roman"/>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Times New Roman" w:cs="Times New Roman" w:eastAsia="Times New Roman" w:hAnsi="Times New Roman"/>
          <w:b/>
          <w:bCs/>
          <w:sz w:val="26"/>
          <w:szCs w:val="26"/>
        </w:rPr>
        <w:t xml:space="preserve">4.9 Output Artifacts</w:t>
      </w:r>
    </w:p>
    <w:p>
      <w:pPr>
        <w:spacing w:after="160" w:line="360"/>
        <w:jc w:val="both"/>
      </w:pPr>
      <w:r>
        <w:rPr>
          <w:rFonts w:ascii="Times New Roman" w:cs="Times New Roman" w:eastAsia="Times New Roman" w:hAnsi="Times New Roman"/>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60"/>
        <w:jc w:val="both"/>
      </w:pPr>
      <w:r>
        <w:rPr>
          <w:rFonts w:ascii="Times New Roman" w:cs="Times New Roman" w:eastAsia="Times New Roman" w:hAnsi="Times New Roman"/>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Times New Roman" w:cs="Times New Roman" w:eastAsia="Times New Roman" w:hAnsi="Times New Roman"/>
          <w:b/>
          <w:bCs/>
          <w:sz w:val="26"/>
          <w:szCs w:val="26"/>
        </w:rPr>
        <w:t xml:space="preserve">4.10 Testing</w:t>
      </w:r>
    </w:p>
    <w:p>
      <w:pPr>
        <w:spacing w:after="160" w:line="360"/>
        <w:jc w:val="both"/>
      </w:pPr>
      <w:r>
        <w:rPr>
          <w:rFonts w:ascii="Times New Roman" w:cs="Times New Roman" w:eastAsia="Times New Roman" w:hAnsi="Times New Roman"/>
          <w:sz w:val="22"/>
          <w:szCs w:val="22"/>
        </w:rPr>
        <w:t xml:space="preserve">The repository ships with a verification suite of 382 automated tests across twenty-nine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382 tests pass on the current commit.</w:t>
      </w:r>
    </w:p>
    <w:p>
      <w:pPr>
        <w:pStyle w:val="Heading2"/>
        <w:spacing w:after="140" w:before="280"/>
      </w:pPr>
      <w:r>
        <w:rPr>
          <w:rFonts w:ascii="Times New Roman" w:cs="Times New Roman" w:eastAsia="Times New Roman" w:hAnsi="Times New Roman"/>
          <w:b/>
          <w:bCs/>
          <w:sz w:val="26"/>
          <w:szCs w:val="26"/>
        </w:rPr>
        <w:t xml:space="preserve">4.11 CLI and Operational Interface</w:t>
      </w:r>
    </w:p>
    <w:p>
      <w:pPr>
        <w:spacing w:after="160" w:line="360"/>
        <w:jc w:val="both"/>
      </w:pPr>
      <w:r>
        <w:rPr>
          <w:rFonts w:ascii="Times New Roman" w:cs="Times New Roman" w:eastAsia="Times New Roman" w:hAnsi="Times New Roman"/>
          <w:sz w:val="22"/>
          <w:szCs w:val="22"/>
        </w:rPr>
        <w:t xml:space="preserve">The unified CLI fyp_cli.py exposes nine subcommands, summarised in Table 4.2: seven study and cluster commands plus two agent-harness helpers. The study and cluster commands accept the shared configuration, results-directory, and log-level options where applicable; the two harness helpers expose their own status and task-packet arguments. The Makefile provides convenient targets that wrap these invocations.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Submit the generated sbatch files (local/dev convenience; --dry_run prints planned submissions). Not used on TC1, where head-node Python is disallowed — TC1 jobs are submitted with direct sbatch (§5, TC1 runbook).</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Poll squeue and the filesystem to report job and output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agent-status</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Print the live repository and agent-harness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agent-start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Render a task-specific startup packet for an agent session.</w:t>
            </w:r>
          </w:p>
        </w:tc>
      </w:tr>
    </w:tbl>
    <w:p>
      <w:pPr>
        <w:spacing w:after="120" w:line="360"/>
      </w:pPr>
      <w:r>
        <w:rPr>
          <w:rFonts w:ascii="Times New Roman" w:cs="Times New Roman" w:eastAsia="Times New Roman" w:hAnsi="Times New Roman"/>
          <w:sz w:val="18"/>
          <w:szCs w:val="18"/>
        </w:rPr>
        <w:t xml:space="preserve">Table 4.2  CLI subcommands exposed by fyp_cli.py.</w:t>
      </w:r>
    </w:p>
    <w:p>
      <w:pPr>
        <w:pStyle w:val="Heading1"/>
        <w:pageBreakBefore/>
        <w:spacing w:after="200" w:before="360"/>
      </w:pPr>
      <w:r>
        <w:rPr>
          <w:rFonts w:ascii="Times New Roman" w:cs="Times New Roman" w:eastAsia="Times New Roman" w:hAnsi="Times New Roman"/>
          <w:b/>
          <w:bCs/>
          <w:sz w:val="32"/>
          <w:szCs w:val="32"/>
        </w:rPr>
        <w:t xml:space="preserve">Chapter 5: Experimental Setup</w:t>
      </w:r>
    </w:p>
    <w:p>
      <w:pPr>
        <w:pStyle w:val="Heading2"/>
        <w:spacing w:after="140" w:before="280"/>
      </w:pPr>
      <w:r>
        <w:rPr>
          <w:rFonts w:ascii="Times New Roman" w:cs="Times New Roman" w:eastAsia="Times New Roman" w:hAnsi="Times New Roman"/>
          <w:b/>
          <w:bCs/>
          <w:sz w:val="26"/>
          <w:szCs w:val="26"/>
        </w:rPr>
        <w:t xml:space="preserve">5.1 Hardware and Cluster Environment</w:t>
      </w:r>
    </w:p>
    <w:p>
      <w:pPr>
        <w:spacing w:after="160" w:line="360"/>
        <w:jc w:val="both"/>
      </w:pPr>
      <w:r>
        <w:rPr>
          <w:rFonts w:ascii="Times New Roman" w:cs="Times New Roman" w:eastAsia="Times New Roman" w:hAnsi="Times New Roman"/>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None (user-managed backups)</w:t>
            </w:r>
          </w:p>
        </w:tc>
      </w:tr>
    </w:tbl>
    <w:p>
      <w:pPr>
        <w:spacing w:after="120" w:line="360"/>
      </w:pPr>
      <w:r>
        <w:rPr>
          <w:rFonts w:ascii="Times New Roman" w:cs="Times New Roman" w:eastAsia="Times New Roman" w:hAnsi="Times New Roman"/>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Times New Roman" w:cs="Times New Roman" w:eastAsia="Times New Roman" w:hAnsi="Times New Roman"/>
          <w:b/>
          <w:bCs/>
          <w:sz w:val="26"/>
          <w:szCs w:val="26"/>
        </w:rPr>
        <w:t xml:space="preserve">5.2 Software Environment</w:t>
      </w:r>
    </w:p>
    <w:p>
      <w:pPr>
        <w:spacing w:after="160" w:line="360"/>
        <w:jc w:val="both"/>
      </w:pPr>
      <w:r>
        <w:rPr>
          <w:rFonts w:ascii="Times New Roman" w:cs="Times New Roman" w:eastAsia="Times New Roman" w:hAnsi="Times New Roman"/>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 382 tests passing)</w:t>
            </w:r>
          </w:p>
        </w:tc>
      </w:tr>
    </w:tbl>
    <w:p>
      <w:pPr>
        <w:spacing w:after="120" w:line="360"/>
      </w:pPr>
      <w:r>
        <w:rPr>
          <w:rFonts w:ascii="Times New Roman" w:cs="Times New Roman" w:eastAsia="Times New Roman" w:hAnsi="Times New Roman"/>
          <w:sz w:val="18"/>
          <w:szCs w:val="18"/>
        </w:rPr>
        <w:t xml:space="preserve">Table 5.2  Software environment versions on TC1.</w:t>
      </w:r>
    </w:p>
    <w:p>
      <w:pPr>
        <w:pStyle w:val="Heading2"/>
        <w:spacing w:after="140" w:before="280"/>
      </w:pPr>
      <w:r>
        <w:rPr>
          <w:rFonts w:ascii="Times New Roman" w:cs="Times New Roman" w:eastAsia="Times New Roman" w:hAnsi="Times New Roman"/>
          <w:b/>
          <w:bCs/>
          <w:sz w:val="26"/>
          <w:szCs w:val="26"/>
        </w:rPr>
        <w:t xml:space="preserve">5.3 Cluster Usage Policy and Workflow Constraints</w:t>
      </w:r>
    </w:p>
    <w:p>
      <w:pPr>
        <w:spacing w:after="160" w:line="360"/>
        <w:jc w:val="both"/>
      </w:pPr>
      <w:r>
        <w:rPr>
          <w:rFonts w:ascii="Times New Roman" w:cs="Times New Roman" w:eastAsia="Times New Roman" w:hAnsi="Times New Roman"/>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60"/>
        <w:jc w:val="both"/>
      </w:pPr>
      <w:r>
        <w:rPr>
          <w:rFonts w:ascii="Times New Roman" w:cs="Times New Roman" w:eastAsia="Times New Roman" w:hAnsi="Times New Roman"/>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60"/>
        <w:jc w:val="both"/>
      </w:pPr>
      <w:r>
        <w:rPr>
          <w:rFonts w:ascii="Times New Roman" w:cs="Times New Roman" w:eastAsia="Times New Roman" w:hAnsi="Times New Roman"/>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Times New Roman" w:cs="Times New Roman" w:eastAsia="Times New Roman" w:hAnsi="Times New Roman"/>
          <w:b/>
          <w:bCs/>
          <w:sz w:val="26"/>
          <w:szCs w:val="26"/>
        </w:rPr>
        <w:t xml:space="preserve">5.4 Hugging Face Access and Gating</w:t>
      </w:r>
    </w:p>
    <w:p>
      <w:pPr>
        <w:spacing w:after="160" w:line="360"/>
        <w:jc w:val="both"/>
      </w:pPr>
      <w:r>
        <w:rPr>
          <w:rFonts w:ascii="Times New Roman" w:cs="Times New Roman" w:eastAsia="Times New Roman" w:hAnsi="Times New Roman"/>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Times New Roman" w:cs="Times New Roman" w:eastAsia="Times New Roman" w:hAnsi="Times New Roman"/>
          <w:b/>
          <w:bCs/>
          <w:sz w:val="26"/>
          <w:szCs w:val="26"/>
        </w:rPr>
        <w:t xml:space="preserve">5.4.1 Infrastructure Validation and Fixes</w:t>
      </w:r>
    </w:p>
    <w:p>
      <w:pPr>
        <w:spacing w:after="160" w:line="360"/>
        <w:jc w:val="both"/>
      </w:pPr>
      <w:r>
        <w:rPr>
          <w:rFonts w:ascii="Times New Roman" w:cs="Times New Roman" w:eastAsia="Times New Roman" w:hAnsi="Times New Roman"/>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Times New Roman" w:cs="Times New Roman" w:eastAsia="Times New Roman" w:hAnsi="Times New Roman"/>
          <w:b/>
          <w:bCs/>
          <w:sz w:val="26"/>
          <w:szCs w:val="26"/>
        </w:rPr>
        <w:t xml:space="preserve">5.5 Offline-Mode Strategy and Pre-Cache</w:t>
      </w:r>
    </w:p>
    <w:p>
      <w:pPr>
        <w:spacing w:after="160" w:line="360"/>
        <w:jc w:val="both"/>
      </w:pPr>
      <w:r>
        <w:rPr>
          <w:rFonts w:ascii="Times New Roman" w:cs="Times New Roman" w:eastAsia="Times New Roman" w:hAnsi="Times New Roman"/>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60"/>
        <w:jc w:val="both"/>
      </w:pPr>
      <w:r>
        <w:rPr>
          <w:rFonts w:ascii="Times New Roman" w:cs="Times New Roman" w:eastAsia="Times New Roman" w:hAnsi="Times New Roman"/>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60"/>
        <w:jc w:val="center"/>
      </w:pPr>
      <w:r>
        <w:rPr>
          <w:rFonts w:ascii="Times New Roman" w:cs="Times New Roman" w:eastAsia="Times New Roman" w:hAnsi="Times New Roman"/>
          <w:sz w:val="18"/>
          <w:szCs w:val="18"/>
        </w:rPr>
        <w:t xml:space="preserve">Code listing 5.1  Head-node pre-cache invocation (scripts/prefetch_tc1.py).</w:t>
      </w:r>
    </w:p>
    <w:p>
      <w:pPr>
        <w:spacing w:after="160" w:line="360"/>
        <w:jc w:val="both"/>
      </w:pPr>
      <w:r>
        <w:rPr>
          <w:rFonts w:ascii="Times New Roman" w:cs="Times New Roman" w:eastAsia="Times New Roman" w:hAnsi="Times New Roman"/>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Times New Roman" w:cs="Times New Roman" w:eastAsia="Times New Roman" w:hAnsi="Times New Roman"/>
          <w:b/>
          <w:bCs/>
          <w:sz w:val="26"/>
          <w:szCs w:val="26"/>
        </w:rPr>
        <w:t xml:space="preserve">5.6 Run Plan</w:t>
      </w:r>
    </w:p>
    <w:p>
      <w:pPr>
        <w:spacing w:after="160" w:line="360"/>
        <w:jc w:val="both"/>
      </w:pPr>
      <w:r>
        <w:rPr>
          <w:rFonts w:ascii="Times New Roman" w:cs="Times New Roman" w:eastAsia="Times New Roman" w:hAnsi="Times New Roman"/>
          <w:sz w:val="22"/>
          <w:szCs w:val="22"/>
        </w:rPr>
        <w:t xml:space="preserve">With group_by=model, the framework emits one sbatch file per model alias —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Times New Roman" w:cs="Times New Roman" w:eastAsia="Times New Roman" w:hAnsi="Times New Roman"/>
          <w:sz w:val="22"/>
          <w:szCs w:val="22"/>
        </w:rPr>
        <w:t xml:space="preserve">qwen_2b_base__matrix.sbatch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qwen_2b_4bit__matrix.sbatch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llama_3_2_3b_4bit__matrix.sbatch</w:t>
      </w:r>
    </w:p>
    <w:p>
      <w:pPr>
        <w:spacing w:after="160" w:line="360"/>
        <w:jc w:val="both"/>
      </w:pPr>
      <w:r>
        <w:rPr>
          <w:rFonts w:ascii="Times New Roman" w:cs="Times New Roman" w:eastAsia="Times New Roman" w:hAnsi="Times New Roman"/>
          <w:sz w:val="22"/>
          <w:szCs w:val="22"/>
        </w:rPr>
        <w:t xml:space="preserve">The cross-family extension (run on TC1 on 2026-06-15; results in §6.13) added four more matrix scripts of the same form — mistral_7b_{base,4bit}__matrix.sbatch and phi4_mini_{base,4bit}__matrix.sbatch —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60"/>
        <w:jc w:val="both"/>
      </w:pPr>
      <w:r>
        <w:rPr>
          <w:rFonts w:ascii="Times New Roman" w:cs="Times New Roman" w:eastAsia="Times New Roman" w:hAnsi="Times New Roman"/>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60"/>
        <w:jc w:val="both"/>
      </w:pPr>
      <w:r>
        <w:rPr>
          <w:rFonts w:ascii="Times New Roman" w:cs="Times New Roman" w:eastAsia="Times New Roman" w:hAnsi="Times New Roman"/>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Times New Roman" w:cs="Times New Roman" w:eastAsia="Times New Roman" w:hAnsi="Times New Roman"/>
          <w:b/>
          <w:bCs/>
          <w:sz w:val="26"/>
          <w:szCs w:val="26"/>
        </w:rPr>
        <w:t xml:space="preserve">5.7 Reproducibility Notes</w:t>
      </w:r>
    </w:p>
    <w:p>
      <w:pPr>
        <w:spacing w:after="160" w:line="360"/>
        <w:jc w:val="both"/>
      </w:pPr>
      <w:r>
        <w:rPr>
          <w:rFonts w:ascii="Times New Roman" w:cs="Times New Roman" w:eastAsia="Times New Roman" w:hAnsi="Times New Roman"/>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 the revision field on every model entry in configs/tc1.yaml and configs/tc1_512.yaml, set to the exact snapshots used on TC1 —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Times New Roman" w:cs="Times New Roman" w:eastAsia="Times New Roman" w:hAnsi="Times New Roman"/>
          <w:b/>
          <w:bCs/>
          <w:sz w:val="32"/>
          <w:szCs w:val="32"/>
        </w:rPr>
        <w:t xml:space="preserve">Chapter 6: Results and Analysis</w:t>
      </w:r>
    </w:p>
    <w:p>
      <w:pPr>
        <w:spacing w:after="160" w:line="360"/>
        <w:jc w:val="both"/>
      </w:pPr>
      <w:r>
        <w:rPr>
          <w:rFonts w:ascii="Times New Roman" w:cs="Times New Roman" w:eastAsia="Times New Roman" w:hAnsi="Times New Roman"/>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Times New Roman" w:cs="Times New Roman" w:eastAsia="Times New Roman" w:hAnsi="Times New Roman"/>
          <w:b/>
          <w:bCs/>
          <w:sz w:val="26"/>
          <w:szCs w:val="26"/>
        </w:rPr>
        <w:t xml:space="preserve">6.1 Results Table</w:t>
      </w:r>
    </w:p>
    <w:p>
      <w:pPr>
        <w:spacing w:after="160" w:line="360"/>
        <w:jc w:val="both"/>
      </w:pPr>
      <w:r>
        <w:rPr>
          <w:rFonts w:ascii="Times New Roman" w:cs="Times New Roman" w:eastAsia="Times New Roman" w:hAnsi="Times New Roman"/>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(One resolution detail for full reproducibility: the judge-scored HarmBench ASR intervals carried in the 128-vs-512 headline comparison of §6.16 are computed with a higher-resolution 10 000-resample paired bootstrap at the same seed 42, whereas the capability, over-refusal, and v2-proxy intervals use 2 000; both are percentile intervals and both replay from the committed sidecars.) A delta is marked statistically significant when its 95% CI excludes zero AND McNemar's exact paired test (§3.7) agrees at p &lt; 0.05; at the corrected over-refusal scoring no contrast triggers the borderline case where the two criteria disagree — the previously-borderline Qwen3-1.7B over-refusal decrease now resolves to non-significant on both criteria (CI [−0.048, 0.000], McNemar p = 0.109 on 10 discordant prompts).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bl>
    <w:p>
      <w:pPr>
        <w:spacing w:after="120" w:line="360"/>
      </w:pPr>
      <w:r>
        <w:rPr>
          <w:rFonts w:ascii="Times New Roman" w:cs="Times New Roman" w:eastAsia="Times New Roman" w:hAnsi="Times New Roman"/>
          <w:sz w:val="18"/>
          <w:szCs w:val="18"/>
        </w:rPr>
        <w:t xml:space="preserve">Table 6.1  Complete per-pair results with paired bootstrap 95% CIs on the deltas. "Sig?" = the CI excludes zero and McNemar's exact paired test agrees (p &lt; 0.05); at the corrected over-refusal scoring no contrast is borderline — the previously-borderline Qwen3-1.7B over-refusal now resolves to non-significant on both criteria (CI [−0.048, 0.000],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60"/>
        <w:jc w:val="both"/>
      </w:pPr>
      <w:r>
        <w:rPr>
          <w:rFonts w:ascii="Times New Roman" w:cs="Times New Roman" w:eastAsia="Times New Roman" w:hAnsi="Times New Roman"/>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 longer excludes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Benjamini–Hochberg control over the family of primary contrasts, no HarmBench ASR contrast survives at all, and the three surviving effects are all capability or over-refusal changes. Every XSTest over-refusal delta is non-significant or points downward — the only significant delta (Phi, −0.048) is a decrease and the previously-borderline Qwen3-1.7B decrease is now non-significant —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Times New Roman" w:cs="Times New Roman" w:eastAsia="Times New Roman" w:hAnsi="Times New Roman"/>
          <w:b/>
          <w:bCs/>
          <w:sz w:val="24"/>
          <w:szCs w:val="24"/>
        </w:rPr>
        <w:t xml:space="preserve">6.1.1 Scorer revision history</w:t>
      </w:r>
    </w:p>
    <w:p>
      <w:pPr>
        <w:spacing w:after="160" w:line="360"/>
        <w:jc w:val="both"/>
      </w:pPr>
      <w:r>
        <w:rPr>
          <w:rFonts w:ascii="Times New Roman" w:cs="Times New Roman" w:eastAsia="Times New Roman" w:hAnsi="Times New Roman"/>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60"/>
        <w:jc w:val="both"/>
      </w:pPr>
      <w:r>
        <w:rPr>
          <w:rFonts w:ascii="Times New Roman" w:cs="Times New Roman" w:eastAsia="Times New Roman" w:hAnsi="Times New Roman"/>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Times New Roman" w:cs="Times New Roman" w:eastAsia="Times New Roman" w:hAnsi="Times New Roman"/>
          <w:b/>
          <w:bCs/>
          <w:sz w:val="26"/>
          <w:szCs w:val="26"/>
        </w:rPr>
        <w:t xml:space="preserve">6.2 Within-Family Scale Analysis (RQ4)</w:t>
      </w:r>
    </w:p>
    <w:p>
      <w:pPr>
        <w:spacing w:after="160" w:line="360"/>
        <w:jc w:val="both"/>
      </w:pPr>
      <w:r>
        <w:rPr>
          <w:rFonts w:ascii="Times New Roman" w:cs="Times New Roman" w:eastAsia="Times New Roman" w:hAnsi="Times New Roman"/>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r>
    </w:tbl>
    <w:p>
      <w:pPr>
        <w:spacing w:after="120" w:line="360"/>
      </w:pPr>
      <w:r>
        <w:rPr>
          <w:rFonts w:ascii="Times New Roman" w:cs="Times New Roman" w:eastAsia="Times New Roman" w:hAnsi="Times New Roman"/>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no Δover-refusal is borderline — the previously-borderline Qwen3-1.7B Δover-refusal now resolves to non-significant on both criteria (CI [−0.048, 0.000], p = 0.109; §3.7). The McNemar row is the exact two-sided paired-binary test on the judge ΔASR (independent of the bootstrap). Under the judge at the 512-token reference budget, the ★ deltas are Llama-3.2-3B ΔASR (−0.040, a decrease; McNemar p = 0.021 —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60"/>
        <w:jc w:val="both"/>
      </w:pPr>
      <w:r>
        <w:rPr>
          <w:rFonts w:ascii="Times New Roman" w:cs="Times New Roman" w:eastAsia="Times New Roman" w:hAnsi="Times New Roman"/>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under the primary lenient parser — the largest single capability contrast observed in this study (a two-pair, within-Qwen, MMLU-anchored comparison). This 30:1 ratio is a lenient-parser figure: on ARC under the same parser the 4B pair loses marginally more than the 1.7B (−1.6 pp vs −0.9 pp), which at first suggests the scale gap is MMLU-specific — but §6.4.1 shows that lenient reading is a parsing artefact, since under a strict answer-parser the 1.7B pair loses far more than the 4B on ARC too (−0.343 vs −0.017). Scale-as-predictor-of-capability-preservation is therefore parser-dependent in magnitude and is read as an observed within-family contrast rather than a benchmark-independent law.</w:t>
      </w:r>
    </w:p>
    <w:p>
      <w:pPr>
        <w:spacing w:after="160" w:line="360"/>
        <w:jc w:val="both"/>
      </w:pPr>
      <w:r>
        <w:rPr>
          <w:rFonts w:ascii="Times New Roman" w:cs="Times New Roman" w:eastAsia="Times New Roman" w:hAnsi="Times New Roman"/>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60"/>
        <w:jc w:val="both"/>
      </w:pPr>
      <w:r>
        <w:rPr>
          <w:rFonts w:ascii="Times New Roman" w:cs="Times New Roman" w:eastAsia="Times New Roman" w:hAnsi="Times New Roman"/>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Times New Roman" w:cs="Times New Roman" w:eastAsia="Times New Roman" w:hAnsi="Times New Roman"/>
          <w:b/>
          <w:bCs/>
          <w:sz w:val="26"/>
          <w:szCs w:val="26"/>
        </w:rPr>
        <w:t xml:space="preserve">6.3 Cross-Family Replication (RQ5)</w:t>
      </w:r>
    </w:p>
    <w:p>
      <w:pPr>
        <w:spacing w:after="160" w:line="360"/>
        <w:jc w:val="both"/>
      </w:pPr>
      <w:r>
        <w:rPr>
          <w:rFonts w:ascii="Times New Roman" w:cs="Times New Roman" w:eastAsia="Times New Roman" w:hAnsi="Times New Roman"/>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60"/>
        <w:jc w:val="both"/>
      </w:pPr>
      <w:r>
        <w:rPr>
          <w:rFonts w:ascii="Times New Roman" w:cs="Times New Roman" w:eastAsia="Times New Roman" w:hAnsi="Times New Roman"/>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the previously-borderline Qwen3-1.7B decrease is now non-significant (McNemar p = 0.109).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Times New Roman" w:cs="Times New Roman" w:eastAsia="Times New Roman" w:hAnsi="Times New Roman"/>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60"/>
        <w:jc w:val="both"/>
      </w:pPr>
      <w:r>
        <w:rPr>
          <w:rFonts w:ascii="Times New Roman" w:cs="Times New Roman" w:eastAsia="Times New Roman" w:hAnsi="Times New Roman"/>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Times New Roman" w:cs="Times New Roman" w:eastAsia="Times New Roman" w:hAnsi="Times New Roman"/>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Times New Roman" w:cs="Times New Roman" w:eastAsia="Times New Roman" w:hAnsi="Times New Roman"/>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Times New Roman" w:cs="Times New Roman" w:eastAsia="Times New Roman" w:hAnsi="Times New Roman"/>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Times New Roman" w:cs="Times New Roman" w:eastAsia="Times New Roman" w:hAnsi="Times New Roman"/>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Times New Roman" w:cs="Times New Roman" w:eastAsia="Times New Roman" w:hAnsi="Times New Roman"/>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Times New Roman" w:cs="Times New Roman" w:eastAsia="Times New Roman" w:hAnsi="Times New Roman"/>
          <w:sz w:val="22"/>
          <w:szCs w:val="22"/>
        </w:rPr>
        <w:t xml:space="preserve">Broad degradation: fallback. Typically signals over-refusal moving outside tolerance, or ASR within tolerance but capability dropping. Used when no specific pattern above matches.</w:t>
      </w:r>
    </w:p>
    <w:p>
      <w:pPr>
        <w:spacing w:after="160" w:line="360"/>
        <w:jc w:val="both"/>
      </w:pPr>
      <w:r>
        <w:rPr>
          <w:rFonts w:ascii="Times New Roman" w:cs="Times New Roman" w:eastAsia="Times New Roman" w:hAnsi="Times New Roman"/>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Times New Roman" w:cs="Times New Roman" w:eastAsia="Times New Roman" w:hAnsi="Times New Roman"/>
          <w:b/>
          <w:bCs/>
          <w:sz w:val="24"/>
          <w:szCs w:val="24"/>
        </w:rPr>
        <w:t xml:space="preserve">6.4.1 Capability robustness check: the ARC-Challenge second benchmark</w:t>
      </w:r>
    </w:p>
    <w:p>
      <w:pPr>
        <w:spacing w:after="160" w:line="360"/>
        <w:jc w:val="both"/>
      </w:pPr>
      <w:r>
        <w:rPr>
          <w:rFonts w:ascii="Times New Roman" w:cs="Times New Roman" w:eastAsia="Times New Roman" w:hAnsi="Times New Roman"/>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under the primary lenient parser. This apparent ARC-robustness is largely a parser artefact, not benchmark-wide preserved capability: both benchmarks suffer the same 4-bit answer-format collapse for this pair (the lenient fallback fires on 48.7% of its MMLU items and 52.3% of its ARC items, versus ~3% at fp16; §6.5), but the fallback salvages the format-broken ARC answers more accurately (66%, well above the 25% chance floor, so answer-knowledge on ARC is substantially preserved) than the MMLU ones (46%), and that difference is what masks the ARC loss. A strict parser that scores an unparsable answer incorrect measures format-compliant answering rather than answer-knowledge alone; under it ARC falls −0.343 and MMLU −0.293 (both significant), comparable large losses. The lenient reading is therefore not evidence that the 1.7B degradation is genuinely MMLU-specific (the answer-format truncation that partly explained the MMLU figure at 128 tokens is separately resolved at 512 — Chapter 8); each benchmark's loss is best read as a bracket whose lenient end tracks answer-knowledge (largely preserved) and whose strict end tracks format-compliant answering (which collapses on both benchmarks).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two of the three FDR survivors — Qwen 1.7B MMLU and Llama ARC; the third is Phi's over-refusal decrease, §6.5.1) without being uniformly significant per pair. Second, the dramatic within-Qwen scale gap under MMLU (the ≈30:1 ratio, §6.2/RQ4) does not replicate under ARC when ARC is scored by the primary lenient parser (which finds the 4B losing marginally more than the 1.7B) — but under a strict parser it does replicate and then some, the 1.7B pair losing −0.343 on ARC against the 4B pair's −0.017, because the lenient parser was masking the 1.7B ARC collapse (above); the 'smaller model is far more capability-sensitive' claim is therefore parser-dependent rather than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Times New Roman" w:cs="Times New Roman" w:eastAsia="Times New Roman" w:hAnsi="Times New Roman"/>
          <w:b/>
          <w:bCs/>
          <w:sz w:val="26"/>
          <w:szCs w:val="26"/>
        </w:rPr>
        <w:t xml:space="preserve">6.5 Statistical Caveats</w:t>
      </w:r>
    </w:p>
    <w:p>
      <w:pPr>
        <w:spacing w:after="160" w:line="360"/>
        <w:jc w:val="both"/>
      </w:pPr>
      <w:r>
        <w:rPr>
          <w:rFonts w:ascii="Times New Roman" w:cs="Times New Roman" w:eastAsia="Times New Roman" w:hAnsi="Times New Roman"/>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is subject to the same asymmetry even more strongly for this pair — 52.3% of the 4-bit member’s ARC items fall to the lenient fallback versus 2.5% for its fp16 twin — so ARC’s near-zero primary delta (−0.009, not significant) is the lenient parser salvaging those format-broken answers (fallback accuracy 66% on that pair), not evidence that ARC is immune to the shift; under a strict parser (leading-letter or explicit “answer is X” declaration only, an unparsable response scored incorrect) ARC falls −0.343 (CI [−0.375, −0.311]) and MMLU falls −0.293 (CI [−0.350, −0.237]) — comparable large losses on both benchmarks. All four capability point estimates for this pair are negative — three of them individually significant, with ARC under the lenient parser (−0.009) within noise of zero — so the direction of the loss is consistent across both benchmarks and both parsers, while its magnitude is protocol-dependent. Each benchmark’s loss is therefore honestly a bracket whose lenient end tracks answer-knowledge (largely preserved) and whose strict end tracks format-compliant answering (which collapses), not a single figure (results_512/analysis/parser_strict_sensitivity.json); answer-format parsing is thus a third measurement-dependence axis in the study, alongside the harm scorer (§6.12) and the over-refusal scorer (§6.12, Result 6).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 0.50), so this contrast is scorer-dependent.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Times New Roman" w:cs="Times New Roman" w:eastAsia="Times New Roman" w:hAnsi="Times New Roman"/>
          <w:b/>
          <w:bCs/>
          <w:sz w:val="24"/>
          <w:szCs w:val="24"/>
        </w:rPr>
        <w:t xml:space="preserve">6.5.1 Multiple-comparison correction and statistical power</w:t>
      </w:r>
    </w:p>
    <w:p>
      <w:pPr>
        <w:spacing w:after="160" w:line="360"/>
        <w:jc w:val="both"/>
      </w:pPr>
      <w:r>
        <w:rPr>
          <w:rFonts w:ascii="Times New Roman" w:cs="Times New Roman" w:eastAsia="Times New Roman" w:hAnsi="Times New Roman"/>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rest on deterministic exact-match scoring (MMLU and ARC parse an option letter; no refusal scorer is involved), whereas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60"/>
        <w:jc w:val="both"/>
      </w:pPr>
      <w:r>
        <w:rPr>
          <w:rFonts w:ascii="Times New Roman" w:cs="Times New Roman" w:eastAsia="Times New Roman" w:hAnsi="Times New Roman"/>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Times New Roman" w:cs="Times New Roman" w:eastAsia="Times New Roman" w:hAnsi="Times New Roman"/>
          <w:b/>
          <w:bCs/>
          <w:sz w:val="26"/>
          <w:szCs w:val="26"/>
        </w:rPr>
        <w:t xml:space="preserve">6.6 Observations: Qwen3-1.7B Pair (pair_id qwen_2b)</w:t>
      </w:r>
    </w:p>
    <w:p>
      <w:pPr>
        <w:spacing w:after="160" w:line="360"/>
        <w:jc w:val="both"/>
      </w:pPr>
      <w:r>
        <w:rPr>
          <w:rFonts w:ascii="Times New Roman" w:cs="Times New Roman" w:eastAsia="Times New Roman" w:hAnsi="Times New Roman"/>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60"/>
        <w:jc w:val="both"/>
      </w:pPr>
      <w:r>
        <w:rPr>
          <w:rFonts w:ascii="Times New Roman" w:cs="Times New Roman" w:eastAsia="Times New Roman" w:hAnsi="Times New Roman"/>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60"/>
        <w:jc w:val="both"/>
      </w:pPr>
      <w:r>
        <w:rPr>
          <w:rFonts w:ascii="Times New Roman" w:cs="Times New Roman" w:eastAsia="Times New Roman" w:hAnsi="Times New Roman"/>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60"/>
        <w:jc w:val="both"/>
      </w:pPr>
      <w:r>
        <w:rPr>
          <w:rFonts w:ascii="Times New Roman" w:cs="Times New Roman" w:eastAsia="Times New Roman" w:hAnsi="Times New Roman"/>
          <w:sz w:val="22"/>
          <w:szCs w:val="22"/>
        </w:rPr>
        <w:t xml:space="preserve">The XSTest over-refusal rate declined (0.052 → 0.028, ΔOR = −0.024), a non-significant effect: the bootstrap CI [−0.048, 0.000] no longer excludes zero, and McNemar's exact test on the 10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60"/>
        <w:jc w:val="both"/>
      </w:pPr>
      <w:r>
        <w:rPr>
          <w:rFonts w:ascii="Times New Roman" w:cs="Times New Roman" w:eastAsia="Times New Roman" w:hAnsi="Times New Roman"/>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60"/>
        <w:jc w:val="both"/>
      </w:pPr>
      <w:r>
        <w:rPr>
          <w:rFonts w:ascii="Times New Roman" w:cs="Times New Roman" w:eastAsia="Times New Roman" w:hAnsi="Times New Roman"/>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Times New Roman" w:cs="Times New Roman" w:eastAsia="Times New Roman" w:hAnsi="Times New Roman"/>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60"/>
        <w:jc w:val="both"/>
      </w:pPr>
      <w:r>
        <w:rPr>
          <w:rFonts w:ascii="Times New Roman" w:cs="Times New Roman" w:eastAsia="Times New Roman" w:hAnsi="Times New Roman"/>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 not Mistral or Phi) were re-run on HarmBench at a single fixed stochastic setting (temperature 0.7, top-p 0.8 —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60"/>
        <w:jc w:val="both"/>
      </w:pPr>
      <w:r>
        <w:rPr>
          <w:rFonts w:ascii="Times New Roman" w:cs="Times New Roman" w:eastAsia="Times New Roman" w:hAnsi="Times New Roman"/>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in this revision's committed artifact; the same arm has since been extended to them and will be folded into a subsequent revision after verification.</w:t>
      </w:r>
    </w:p>
    <w:p>
      <w:pPr>
        <w:pStyle w:val="Heading3"/>
        <w:spacing w:after="120" w:before="220"/>
      </w:pPr>
      <w:r>
        <w:rPr>
          <w:rFonts w:ascii="Times New Roman" w:cs="Times New Roman" w:eastAsia="Times New Roman" w:hAnsi="Times New Roman"/>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60"/>
        <w:jc w:val="both"/>
      </w:pPr>
      <w:r>
        <w:rPr>
          <w:rFonts w:ascii="Times New Roman" w:cs="Times New Roman" w:eastAsia="Times New Roman" w:hAnsi="Times New Roman"/>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Times New Roman" w:cs="Times New Roman" w:eastAsia="Times New Roman" w:hAnsi="Times New Roman"/>
          <w:b/>
          <w:bCs/>
          <w:sz w:val="26"/>
          <w:szCs w:val="26"/>
        </w:rPr>
        <w:t xml:space="preserve">6.7 Preliminary Scale Observations: Baseline Comparison</w:t>
      </w:r>
    </w:p>
    <w:p>
      <w:pPr>
        <w:spacing w:after="160" w:line="360"/>
        <w:jc w:val="both"/>
      </w:pPr>
      <w:r>
        <w:rPr>
          <w:rFonts w:ascii="Times New Roman" w:cs="Times New Roman" w:eastAsia="Times New Roman" w:hAnsi="Times New Roman"/>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Times New Roman" w:cs="Times New Roman" w:eastAsia="Times New Roman" w:hAnsi="Times New Roman"/>
          <w:b/>
          <w:bCs/>
          <w:sz w:val="26"/>
          <w:szCs w:val="26"/>
        </w:rPr>
        <w:t xml:space="preserve">6.8 Observations: Qwen3-4B Pair (pair_id qwen_4b)</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60"/>
        <w:jc w:val="both"/>
      </w:pPr>
      <w:r>
        <w:rPr>
          <w:rFonts w:ascii="Times New Roman" w:cs="Times New Roman" w:eastAsia="Times New Roman" w:hAnsi="Times New Roman"/>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60"/>
        <w:jc w:val="both"/>
      </w:pPr>
      <w:r>
        <w:rPr>
          <w:rFonts w:ascii="Times New Roman" w:cs="Times New Roman" w:eastAsia="Times New Roman" w:hAnsi="Times New Roman"/>
          <w:sz w:val="22"/>
          <w:szCs w:val="22"/>
        </w:rPr>
        <w:t xml:space="preserve">Mechanism and over-refusal. Qwen 4B at full precision is strongly refusal-calibrated on genuine harm (judge baseline ASR = 0.115). XSTest over-refusal shifts marginally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60"/>
        <w:jc w:val="both"/>
      </w:pPr>
      <w:r>
        <w:rPr>
          <w:rFonts w:ascii="Times New Roman" w:cs="Times New Roman" w:eastAsia="Times New Roman" w:hAnsi="Times New Roman"/>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60"/>
        <w:jc w:val="both"/>
      </w:pPr>
      <w:r>
        <w:rPr>
          <w:rFonts w:ascii="Times New Roman" w:cs="Times New Roman" w:eastAsia="Times New Roman" w:hAnsi="Times New Roman"/>
          <w:sz w:val="22"/>
          <w:szCs w:val="22"/>
        </w:rPr>
        <w:t xml:space="preserve">The Llama 3.2 3B pair results (§6.10–§6.11) allow assessment of whether any safety worsening reproduces cross-family.</w:t>
      </w:r>
    </w:p>
    <w:p>
      <w:pPr>
        <w:pStyle w:val="Heading2"/>
        <w:spacing w:after="140" w:before="280"/>
      </w:pPr>
      <w:r>
        <w:rPr>
          <w:rFonts w:ascii="Times New Roman" w:cs="Times New Roman" w:eastAsia="Times New Roman" w:hAnsi="Times New Roman"/>
          <w:b/>
          <w:bCs/>
          <w:sz w:val="26"/>
          <w:szCs w:val="26"/>
        </w:rPr>
        <w:t xml:space="preserve">6.9 Research Question Synthesis</w:t>
      </w:r>
    </w:p>
    <w:p>
      <w:pPr>
        <w:spacing w:after="160" w:line="360"/>
        <w:jc w:val="both"/>
      </w:pPr>
      <w:r>
        <w:rPr>
          <w:rFonts w:ascii="Times New Roman" w:cs="Times New Roman" w:eastAsia="Times New Roman" w:hAnsi="Times New Roman"/>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 with Qwen 1.7B's over-refusal decrease (−0.024) now non-significant (bootstrap CI [−0.048, 0.000] no longer excludes zero, McNemar p = 0.109; §3.7).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Times New Roman" w:cs="Times New Roman" w:eastAsia="Times New Roman" w:hAnsi="Times New Roman"/>
          <w:b/>
          <w:bCs/>
          <w:sz w:val="24"/>
          <w:szCs w:val="24"/>
        </w:rPr>
        <w:t xml:space="preserve">RQ1: Does 4-bit NF4 quantization increase harmful compliance?</w:t>
      </w:r>
    </w:p>
    <w:p>
      <w:pPr>
        <w:spacing w:after="160" w:line="360"/>
        <w:jc w:val="both"/>
      </w:pPr>
      <w:r>
        <w:rPr>
          <w:rFonts w:ascii="Times New Roman" w:cs="Times New Roman" w:eastAsia="Times New Roman" w:hAnsi="Times New Roman"/>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Times New Roman" w:cs="Times New Roman" w:eastAsia="Times New Roman" w:hAnsi="Times New Roman"/>
          <w:b/>
          <w:bCs/>
          <w:sz w:val="24"/>
          <w:szCs w:val="24"/>
        </w:rPr>
        <w:t xml:space="preserve">RQ2: Does 4-bit NF4 quantization increase over-refusal on benign prompts?</w:t>
      </w:r>
    </w:p>
    <w:p>
      <w:pPr>
        <w:spacing w:after="160" w:line="360"/>
        <w:jc w:val="both"/>
      </w:pPr>
      <w:r>
        <w:rPr>
          <w:rFonts w:ascii="Times New Roman" w:cs="Times New Roman" w:eastAsia="Times New Roman" w:hAnsi="Times New Roman"/>
          <w:sz w:val="22"/>
          <w:szCs w:val="22"/>
        </w:rPr>
        <w:t xml:space="preserve">Across the five pairs, none moves significantly in the over-refusing direction and the only confirmed change is benign. Under the v2 scorer: Qwen3-1.7B ΔOR = −0.024 (0.052 → 0.028, not significant: bootstrap CI [−0.048, 0.000] no longer excludes zero, McNemar p = 0.109; §3.7), Qwen3-4B −0.004 (0.028 → 0.024, not significant), Llama 3B +0.016 (0.032 → 0.048, not significant), Mistral-7B 0.000 (0.004 → 0.004, not significant), and Phi-4-mini −0.048 (0.128 → 0.080, significant, McNemar p = 0.002). The one significant over-refusal delta (Phi, −0.048) is a decrease, and the previously-borderline Qwen 1.7B delta is now non-significant but still a decrease: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Times New Roman" w:cs="Times New Roman" w:eastAsia="Times New Roman" w:hAnsi="Times New Roman"/>
          <w:b/>
          <w:bCs/>
          <w:sz w:val="24"/>
          <w:szCs w:val="24"/>
        </w:rPr>
        <w:t xml:space="preserve">RQ3: Does 4-bit NF4 quantization degrade general capability?</w:t>
      </w:r>
    </w:p>
    <w:p>
      <w:pPr>
        <w:spacing w:after="160" w:line="360"/>
        <w:jc w:val="both"/>
      </w:pPr>
      <w:r>
        <w:rPr>
          <w:rFonts w:ascii="Times New Roman" w:cs="Times New Roman" w:eastAsia="Times New Roman" w:hAnsi="Times New Roman"/>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Benjamini–Hochberg correction) and Qwen 4B (−0.016, uncorrected only — it does not survive correction). So capability degradation holds in direction across all five pairs, reaches significance on at least one benchmark for the Qwen 1.7B, Qwen 4B and Llama pairs, and supplies two of the three effects that survive the Benjamini–Hochberg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Times New Roman" w:cs="Times New Roman" w:eastAsia="Times New Roman" w:hAnsi="Times New Roman"/>
          <w:b/>
          <w:bCs/>
          <w:sz w:val="24"/>
          <w:szCs w:val="24"/>
        </w:rPr>
        <w:t xml:space="preserve">RQ4: Are smaller models more sensitive to quantization within the same family?</w:t>
      </w:r>
    </w:p>
    <w:p>
      <w:pPr>
        <w:spacing w:after="160" w:line="360"/>
        <w:jc w:val="both"/>
      </w:pPr>
      <w:r>
        <w:rPr>
          <w:rFonts w:ascii="Times New Roman" w:cs="Times New Roman" w:eastAsia="Times New Roman" w:hAnsi="Times New Roman"/>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Times New Roman" w:cs="Times New Roman" w:eastAsia="Times New Roman" w:hAnsi="Times New Roman"/>
          <w:b/>
          <w:bCs/>
          <w:sz w:val="24"/>
          <w:szCs w:val="24"/>
        </w:rPr>
        <w:t xml:space="preserve">RQ5: Are effects consistent across model families?</w:t>
      </w:r>
    </w:p>
    <w:p>
      <w:pPr>
        <w:spacing w:after="160" w:line="360"/>
        <w:jc w:val="both"/>
      </w:pPr>
      <w:r>
        <w:rPr>
          <w:rFonts w:ascii="Times New Roman" w:cs="Times New Roman" w:eastAsia="Times New Roman" w:hAnsi="Times New Roman"/>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previously-borderline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Times New Roman" w:cs="Times New Roman" w:eastAsia="Times New Roman" w:hAnsi="Times New Roman"/>
          <w:b/>
          <w:bCs/>
          <w:sz w:val="24"/>
          <w:szCs w:val="24"/>
        </w:rPr>
        <w:t xml:space="preserve">Discussion: What the full five-pair dataset tells us</w:t>
      </w:r>
    </w:p>
    <w:p>
      <w:pPr>
        <w:spacing w:after="160" w:line="360"/>
        <w:jc w:val="both"/>
      </w:pPr>
      <w:r>
        <w:rPr>
          <w:rFonts w:ascii="Times New Roman" w:cs="Times New Roman" w:eastAsia="Times New Roman" w:hAnsi="Times New Roman"/>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robustly survives multiplicity correction, the one over-refusal survivor being scorer-dependent,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Times New Roman" w:cs="Times New Roman" w:eastAsia="Times New Roman" w:hAnsi="Times New Roman"/>
          <w:b/>
          <w:bCs/>
          <w:sz w:val="26"/>
          <w:szCs w:val="26"/>
        </w:rPr>
        <w:t xml:space="preserve">6.10 Observations: Llama-3.2-3B Pair (pair_id llama_3_2_3b)</w:t>
      </w:r>
    </w:p>
    <w:p>
      <w:pPr>
        <w:spacing w:after="160" w:line="360"/>
        <w:jc w:val="both"/>
      </w:pPr>
      <w:r>
        <w:rPr>
          <w:rFonts w:ascii="Times New Roman" w:cs="Times New Roman" w:eastAsia="Times New Roman" w:hAnsi="Times New Roman"/>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60"/>
        <w:jc w:val="both"/>
      </w:pPr>
      <w:r>
        <w:rPr>
          <w:rFonts w:ascii="Times New Roman" w:cs="Times New Roman" w:eastAsia="Times New Roman" w:hAnsi="Times New Roman"/>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60"/>
        <w:jc w:val="both"/>
      </w:pPr>
      <w:r>
        <w:rPr>
          <w:rFonts w:ascii="Times New Roman" w:cs="Times New Roman" w:eastAsia="Times New Roman" w:hAnsi="Times New Roman"/>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60"/>
        <w:jc w:val="both"/>
      </w:pPr>
      <w:r>
        <w:rPr>
          <w:rFonts w:ascii="Times New Roman" w:cs="Times New Roman" w:eastAsia="Times New Roman" w:hAnsi="Times New Roman"/>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Times New Roman" w:cs="Times New Roman" w:eastAsia="Times New Roman" w:hAnsi="Times New Roman"/>
          <w:b/>
          <w:bCs/>
          <w:sz w:val="26"/>
          <w:szCs w:val="26"/>
        </w:rPr>
        <w:t xml:space="preserve">6.11 Cross-Family Comparison (RQ5)</w:t>
      </w:r>
    </w:p>
    <w:p>
      <w:pPr>
        <w:spacing w:after="160" w:line="360"/>
        <w:jc w:val="both"/>
      </w:pPr>
      <w:r>
        <w:rPr>
          <w:rFonts w:ascii="Times New Roman" w:cs="Times New Roman" w:eastAsia="Times New Roman" w:hAnsi="Times New Roman"/>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Times New Roman" w:cs="Times New Roman" w:eastAsia="Times New Roman" w:hAnsi="Times New Roman"/>
          <w:b/>
          <w:bCs/>
          <w:sz w:val="24"/>
          <w:szCs w:val="24"/>
        </w:rPr>
        <w:t xml:space="preserve">6.11.1 Baseline safety profiles differ substantially across families</w:t>
      </w:r>
    </w:p>
    <w:p>
      <w:pPr>
        <w:spacing w:after="160" w:line="360"/>
        <w:jc w:val="both"/>
      </w:pPr>
      <w:r>
        <w:rPr>
          <w:rFonts w:ascii="Times New Roman" w:cs="Times New Roman" w:eastAsia="Times New Roman" w:hAnsi="Times New Roman"/>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Times New Roman" w:cs="Times New Roman" w:eastAsia="Times New Roman" w:hAnsi="Times New Roman"/>
          <w:b/>
          <w:bCs/>
          <w:sz w:val="24"/>
          <w:szCs w:val="24"/>
        </w:rPr>
        <w:t xml:space="preserve">6.11.2 Harmful compliance: no significant increase in any family; the one significant delta is a decrease</w:t>
      </w:r>
    </w:p>
    <w:p>
      <w:pPr>
        <w:spacing w:after="160" w:line="360"/>
        <w:jc w:val="both"/>
      </w:pPr>
      <w:r>
        <w:rPr>
          <w:rFonts w:ascii="Times New Roman" w:cs="Times New Roman" w:eastAsia="Times New Roman" w:hAnsi="Times New Roman"/>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Times New Roman" w:cs="Times New Roman" w:eastAsia="Times New Roman" w:hAnsi="Times New Roman"/>
          <w:b/>
          <w:bCs/>
          <w:sz w:val="24"/>
          <w:szCs w:val="24"/>
        </w:rPr>
        <w:t xml:space="preserve">6.11.3 Over-refusal: no significant increase across families</w:t>
      </w:r>
    </w:p>
    <w:p>
      <w:pPr>
        <w:spacing w:after="160" w:line="360"/>
        <w:jc w:val="both"/>
      </w:pPr>
      <w:r>
        <w:rPr>
          <w:rFonts w:ascii="Times New Roman" w:cs="Times New Roman" w:eastAsia="Times New Roman" w:hAnsi="Times New Roman"/>
          <w:sz w:val="22"/>
          <w:szCs w:val="22"/>
        </w:rPr>
        <w:t xml:space="preserve">The XSTest over-refusal rate is a consistent cross-family signal: four of the five ΔOR deltas are not statistically significant (Qwen3-4B (−0.004), Llama-3B (+0.016), Mistral-7B (0.000), and Qwen3-1.7B (−0.024, non-significant: bootstrap CI [−0.048, 0.000] no longer excludes zero, McNemar p = 0.109; §3.7)), and the one significant move, Phi-4-mini (−0.048), together with the now-non-significant Qwen3-1.7B decrease,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moves that approach or reach significance are reductions in false refusals (Qwen 1.7B and Phi). The largest upward point estimate is on Llama (+0.016), a directional signal whose CI still includes zero.</w:t>
      </w:r>
    </w:p>
    <w:p>
      <w:pPr>
        <w:pStyle w:val="Heading3"/>
        <w:spacing w:after="120" w:before="220"/>
      </w:pPr>
      <w:r>
        <w:rPr>
          <w:rFonts w:ascii="Times New Roman" w:cs="Times New Roman" w:eastAsia="Times New Roman" w:hAnsi="Times New Roman"/>
          <w:b/>
          <w:bCs/>
          <w:sz w:val="24"/>
          <w:szCs w:val="24"/>
        </w:rPr>
        <w:t xml:space="preserve">6.11.4 Capability: the robust, budget-invariant cost of quantization</w:t>
      </w:r>
    </w:p>
    <w:p>
      <w:pPr>
        <w:spacing w:after="160" w:line="360"/>
        <w:jc w:val="both"/>
      </w:pPr>
      <w:r>
        <w:rPr>
          <w:rFonts w:ascii="Times New Roman" w:cs="Times New Roman" w:eastAsia="Times New Roman" w:hAnsi="Times New Roman"/>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Times New Roman" w:cs="Times New Roman" w:eastAsia="Times New Roman" w:hAnsi="Times New Roman"/>
          <w:b/>
          <w:bCs/>
          <w:sz w:val="24"/>
          <w:szCs w:val="24"/>
        </w:rPr>
        <w:t xml:space="preserve">6.11.5 Interpretation labels and the study's central question</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Times New Roman" w:cs="Times New Roman" w:eastAsia="Times New Roman" w:hAnsi="Times New Roman"/>
          <w:b/>
          <w:bCs/>
          <w:sz w:val="26"/>
          <w:szCs w:val="26"/>
        </w:rPr>
        <w:t xml:space="preserve">6.12 Judge-Model Validation of HarmBench ASR (the primary scorer)</w:t>
      </w:r>
    </w:p>
    <w:p>
      <w:pPr>
        <w:spacing w:after="160" w:line="360"/>
        <w:jc w:val="both"/>
      </w:pPr>
      <w:r>
        <w:rPr>
          <w:rFonts w:ascii="Times New Roman" w:cs="Times New Roman" w:eastAsia="Times New Roman" w:hAnsi="Times New Roman"/>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60"/>
        <w:jc w:val="both"/>
      </w:pPr>
      <w:r>
        <w:rPr>
          <w:rFonts w:ascii="Times New Roman" w:cs="Times New Roman" w:eastAsia="Times New Roman" w:hAnsi="Times New Roman"/>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0.77</w:t>
            </w:r>
          </w:p>
        </w:tc>
      </w:tr>
    </w:tbl>
    <w:p>
      <w:pPr>
        <w:spacing w:after="120" w:line="360"/>
      </w:pPr>
      <w:r>
        <w:rPr>
          <w:rFonts w:ascii="Times New Roman" w:cs="Times New Roman" w:eastAsia="Times New Roman" w:hAnsi="Times New Roman"/>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60"/>
        <w:jc w:val="both"/>
      </w:pPr>
      <w:r>
        <w:rPr>
          <w:rFonts w:ascii="Times New Roman" w:cs="Times New Roman" w:eastAsia="Times New Roman" w:hAnsi="Times New Roman"/>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60"/>
        <w:jc w:val="both"/>
      </w:pPr>
      <w:r>
        <w:rPr>
          <w:rFonts w:ascii="Times New Roman" w:cs="Times New Roman" w:eastAsia="Times New Roman" w:hAnsi="Times New Roman"/>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60"/>
        <w:jc w:val="both"/>
      </w:pPr>
      <w:r>
        <w:rPr>
          <w:rFonts w:ascii="Times New Roman" w:cs="Times New Roman" w:eastAsia="Times New Roman" w:hAnsi="Times New Roman"/>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60"/>
        <w:jc w:val="both"/>
      </w:pPr>
      <w:r>
        <w:rPr>
          <w:rFonts w:ascii="Times New Roman" w:cs="Times New Roman" w:eastAsia="Times New Roman" w:hAnsi="Times New Roman"/>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60"/>
        <w:jc w:val="both"/>
      </w:pPr>
      <w:r>
        <w:rPr>
          <w:rFonts w:ascii="Times New Roman" w:cs="Times New Roman" w:eastAsia="Times New Roman" w:hAnsi="Times New Roman"/>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 spanning the ten base/NF4 aliases of the primary study and deliberately over-sampling the judge-vs-regex disagreement cases — was labelled by a single human annotator (the study's author) against the HarmBench rubric (the redacted aggregate is results_512/analysis/human_validation.json; the annotation sheet holds raw response text and is local-only). One input-mismatch caveat applies: the annotation view truncated each response to its first 2,000 characters, whereas both automated scorers saw the full generation, so on the roughly 57 percent of items whose response exceeds that length the human judged a prefix of what the scorers judged; any harmful content confined to the truncated tail would therefore register as a human–scorer disagreement rather than agreement, which plausibly inflates the measured disagreement, so the observed κ is best read as conservative — though the direction is not strictly identified, since a harmful-looking prefix followed by a benign completion cuts the other way.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 37 of 200, against the classifier's 46 and the regex's 132 —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not merely relative to the classifier but relative to human judgment, and the classifier is the substantially better scorer. Two bounds are stated with equal plainness. First, κ = 0.59 makes the classifier a better scorer, not a perfect human proxy —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 cases (120 of 200), the absolute κ values are computed on a harder-than-representative slice and are not population estimates; the direction in which a representative population would move them is not identified by this design (the enriched slice changes both the item difficulty and the marginal prevalence κ depends on). The reported pair should therefore be read as a disagreement-enriched contrast, not a population estimate. What is robust to that sampling is the ordering and its size: on the contested cases that decide the conclusion the classifier tracks the human far more closely than the regex does, and the direction of the regex's error is a systematic over-count.</w:t>
      </w:r>
    </w:p>
    <w:p>
      <w:pPr>
        <w:spacing w:after="160" w:line="360"/>
        <w:jc w:val="both"/>
      </w:pPr>
      <w:r>
        <w:rPr>
          <w:rFonts w:ascii="Times New Roman" w:cs="Times New Roman" w:eastAsia="Times New Roman" w:hAnsi="Times New Roman"/>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 the choice of scorer changes the conclusion, and refusal-counting over-states harmful compliance relative to both the benchmark's own classifier and a human annotator —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(Llama Guard [25]) is the natural complementary cross-check; that guard has since been run, and its verification and fold-in are pending, so this revision carries the two-judge and human-grounded validation only.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60"/>
        <w:jc w:val="both"/>
      </w:pPr>
      <w:r>
        <w:rPr>
          <w:rFonts w:ascii="Times New Roman" w:cs="Times New Roman" w:eastAsia="Times New Roman" w:hAnsi="Times New Roman"/>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 the same question the classifier answered for HarmBench — the 3,750 saved benign XSTest responses (fifteen aliases × 250 prompts) were re-scored by an independent API judge (gpt-4o, pinned dated snapshot gpt-4o-2024-08-06, temperature 0, zero parse failures) that labels each response by the XSTest paper's own three-class taxonomy —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base/NF4 aliases of the primary study). Second, and decisively, the Phi-4-mini over-refusal decrease does not replicate: under the judge the Phi ΔOR is +0.016 (strict; direction reversed, CI [−0.028, +0.060], McNemar p = 0.597) or −0.004 (broad; CI [−0.048, +0.036], McNemar p = 1.000) —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it is a reproducible property of the refusal regex, not a classifier- or human-validated over-refusal shift. This extends the chapter's central message — the scorer determines the conclusion —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and a human-labelled refusal gold set remains the natural next strengthening (Chapter 9). All five per-pair judge ΔORs are reported in Table 6.4 regardless of direction, as exploratory sensitivity results under the pre-registered presentation rule — the largest, Qwen3-1.7B's +0.040 (strict; McNemar p = 0.087), is an apparent increase that does not reach significance — and full per-alias agreement is in results_512/analysis/xstest_judge_agreement.{json,csv} (redacted); no new significance claim enters the pre-registered multiplicity family.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[−0.048, +0.036]; 1.000</w:t>
            </w:r>
          </w:p>
        </w:tc>
      </w:tr>
    </w:tbl>
    <w:p>
      <w:pPr>
        <w:spacing w:after="120" w:line="360"/>
      </w:pPr>
      <w:r>
        <w:rPr>
          <w:rFonts w:ascii="Times New Roman" w:cs="Times New Roman" w:eastAsia="Times New Roman" w:hAnsi="Times New Roman"/>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multiplicity family. From results_512/analysis/xstest_judge_agreement.json.</w:t>
      </w:r>
    </w:p>
    <w:p>
      <w:pPr>
        <w:pStyle w:val="Heading2"/>
        <w:spacing w:after="140" w:before="280"/>
      </w:pPr>
      <w:r>
        <w:rPr>
          <w:rFonts w:ascii="Times New Roman" w:cs="Times New Roman" w:eastAsia="Times New Roman" w:hAnsi="Times New Roman"/>
          <w:b/>
          <w:bCs/>
          <w:sz w:val="26"/>
          <w:szCs w:val="26"/>
        </w:rPr>
        <w:t xml:space="preserve">6.13 Cross-Family Extension: Mistral-7B and Phi-4-mini (RQ5)</w:t>
      </w:r>
    </w:p>
    <w:p>
      <w:pPr>
        <w:spacing w:after="160" w:line="360"/>
        <w:jc w:val="both"/>
      </w:pPr>
      <w:r>
        <w:rPr>
          <w:rFonts w:ascii="Times New Roman" w:cs="Times New Roman" w:eastAsia="Times New Roman" w:hAnsi="Times New Roman"/>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60"/>
        <w:jc w:val="both"/>
      </w:pPr>
      <w:r>
        <w:rPr>
          <w:rFonts w:ascii="Times New Roman" w:cs="Times New Roman" w:eastAsia="Times New Roman" w:hAnsi="Times New Roman"/>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0.000,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60"/>
        <w:jc w:val="both"/>
      </w:pPr>
      <w:r>
        <w:rPr>
          <w:rFonts w:ascii="Times New Roman" w:cs="Times New Roman" w:eastAsia="Times New Roman" w:hAnsi="Times New Roman"/>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That ΔASR sits exactly on the +0.02 harm tolerance, so the pair takes the alignment_degradation label at the point-estimate level, but with an evidence status of directional rather than confirmed: the CI includes zero and the change is not statistically distinguishable from zero, so this is a directional, on-the-boundary point estimate, not a confirmed safety regression. The judge–proxy agreement is high (κ = 0.67, like Llama), and the second judge agrees at κ 0.68 at baseline and 0.83 under 4-bit at the reference budget —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 though this contrast is regex-scored and scorer-dependent: an independent three-class refusal judge does not reproduce it (§6.12, Result 6).</w:t>
      </w:r>
    </w:p>
    <w:p>
      <w:pPr>
        <w:spacing w:after="160" w:line="360"/>
        <w:jc w:val="both"/>
      </w:pPr>
      <w:r>
        <w:rPr>
          <w:rFonts w:ascii="Times New Roman" w:cs="Times New Roman" w:eastAsia="Times New Roman" w:hAnsi="Times New Roman"/>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Times New Roman" w:cs="Times New Roman" w:eastAsia="Times New Roman" w:hAnsi="Times New Roman"/>
          <w:b/>
          <w:bCs/>
          <w:sz w:val="26"/>
          <w:szCs w:val="26"/>
        </w:rPr>
        <w:t xml:space="preserve">6.14 Mechanism Probe: Refusal-Margin Geometry (the "why")</w:t>
      </w:r>
    </w:p>
    <w:p>
      <w:pPr>
        <w:spacing w:after="160" w:line="360"/>
        <w:jc w:val="both"/>
      </w:pPr>
      <w:r>
        <w:rPr>
          <w:rFonts w:ascii="Times New Roman" w:cs="Times New Roman" w:eastAsia="Times New Roman" w:hAnsi="Times New Roman"/>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the margin values it analyses are budget-invariant. The behavioural flips it references, however, are defined by the full-generation judge outcome and were computed on the 128-token generation set (results/analysis/refusal_margin.json), so the flip counts below are budget-specific — at the 512-token reference budget the load-bearing Qwen-1.7B pair, for example, is a symmetric sixteen-versus-sixteen (§6.16) rather than the sixteen-versus-five reported here. The margin-based boundary-instability reading is unaffected by this, and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60"/>
        <w:jc w:val="both"/>
      </w:pPr>
      <w:r>
        <w:rPr>
          <w:rFonts w:ascii="Times New Roman" w:cs="Times New Roman" w:eastAsia="Times New Roman" w:hAnsi="Times New Roman"/>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60"/>
        <w:jc w:val="both"/>
      </w:pPr>
      <w:r>
        <w:rPr>
          <w:rFonts w:ascii="Times New Roman" w:cs="Times New Roman" w:eastAsia="Times New Roman" w:hAnsi="Times New Roman"/>
          <w:sz w:val="22"/>
          <w:szCs w:val="22"/>
        </w:rPr>
        <w:t xml:space="preserve">Central result (computed on the 128-token behavioural flips; the first-token margins are budget-invariant):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60"/>
        <w:jc w:val="both"/>
      </w:pPr>
      <w:r>
        <w:rPr>
          <w:rFonts w:ascii="Times New Roman" w:cs="Times New Roman" w:eastAsia="Times New Roman" w:hAnsi="Times New Roman"/>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60"/>
        <w:jc w:val="both"/>
      </w:pPr>
      <w:r>
        <w:rPr>
          <w:rFonts w:ascii="Times New Roman" w:cs="Times New Roman" w:eastAsia="Times New Roman" w:hAnsi="Times New Roman"/>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Times New Roman" w:cs="Times New Roman" w:eastAsia="Times New Roman" w:hAnsi="Times New Roman"/>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60"/>
        <w:jc w:val="both"/>
      </w:pPr>
      <w:r>
        <w:rPr>
          <w:rFonts w:ascii="Times New Roman" w:cs="Times New Roman" w:eastAsia="Times New Roman" w:hAnsi="Times New Roman"/>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(configs/tc1_int8_512.yaml,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60"/>
        <w:jc w:val="both"/>
      </w:pPr>
      <w:r>
        <w:rPr>
          <w:rFonts w:ascii="Times New Roman" w:cs="Times New Roman" w:eastAsia="Times New Roman" w:hAnsi="Times New Roman"/>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60"/>
        <w:jc w:val="both"/>
      </w:pPr>
      <w:r>
        <w:rPr>
          <w:rFonts w:ascii="Times New Roman" w:cs="Times New Roman" w:eastAsia="Times New Roman" w:hAnsi="Times New Roman"/>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3–4% (the lowest of any family; §6.16), so its 128-vs-512 instability traces to cross-run greedy divergence (Llama carries the study's highest prefix-mismatch share, §6.16) rather than to cut-off responses —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60"/>
        <w:jc w:val="both"/>
      </w:pPr>
      <w:r>
        <w:rPr>
          <w:rFonts w:ascii="Times New Roman" w:cs="Times New Roman" w:eastAsia="Times New Roman" w:hAnsi="Times New Roman"/>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budget-sensitive artefact rather than a method-specific "INT8 erodes safety" effect — and because Llama's generations truncate at only 3–4%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60"/>
        <w:jc w:val="both"/>
      </w:pPr>
      <w:r>
        <w:rPr>
          <w:rFonts w:ascii="Times New Roman" w:cs="Times New Roman" w:eastAsia="Times New Roman" w:hAnsi="Times New Roman"/>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Times New Roman" w:cs="Times New Roman" w:eastAsia="Times New Roman" w:hAnsi="Times New Roman"/>
          <w:b/>
          <w:bCs/>
          <w:sz w:val="26"/>
          <w:szCs w:val="26"/>
        </w:rPr>
        <w:t xml:space="preserve">6.16 Generation-Length Robustness: the 512-Token Rerun</w:t>
      </w:r>
    </w:p>
    <w:p>
      <w:pPr>
        <w:spacing w:after="160" w:line="360"/>
        <w:jc w:val="both"/>
      </w:pPr>
      <w:r>
        <w:rPr>
          <w:rFonts w:ascii="Times New Roman" w:cs="Times New Roman" w:eastAsia="Times New Roman" w:hAnsi="Times New Roman"/>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60"/>
        <w:jc w:val="both"/>
      </w:pPr>
      <w:r>
        <w:rPr>
          <w:rFonts w:ascii="Times New Roman" w:cs="Times New Roman" w:eastAsia="Times New Roman" w:hAnsi="Times New Roman"/>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60"/>
        <w:jc w:val="both"/>
      </w:pPr>
      <w:r>
        <w:rPr>
          <w:rFonts w:ascii="Times New Roman" w:cs="Times New Roman" w:eastAsia="Times New Roman" w:hAnsi="Times New Roman"/>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 inventing a follow-up user request and then answering it —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400"/>
        <w:gridCol w:w="2550"/>
        <w:gridCol w:w="2550"/>
        <w:gridCol w:w="2526"/>
      </w:tblGrid>
      <w:tr>
        <w:trPr>
          <w:tblHeader/>
        </w:trPr>
        <w:tc>
          <w:tcPr>
            <w:tcW w:type="dxa" w:w="1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5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@128 (classifier)</w:t>
            </w:r>
          </w:p>
        </w:tc>
        <w:tc>
          <w:tcPr>
            <w:tcW w:type="dxa" w:w="25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(classifier)</w:t>
            </w:r>
          </w:p>
        </w:tc>
        <w:tc>
          <w:tcPr>
            <w:tcW w:type="dxa" w:w="252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(gpt-4o)</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Qwen3-1.7B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+0.055 (sig @128)</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Qwen3-4B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Llama-3.2-3B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Mistral-7B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Phi-4-mini</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bl>
    <w:p>
      <w:pPr>
        <w:spacing w:after="160" w:line="360"/>
        <w:jc w:val="center"/>
      </w:pPr>
      <w:r>
        <w:rPr>
          <w:rFonts w:ascii="Times New Roman" w:cs="Times New Roman" w:eastAsia="Times New Roman" w:hAnsi="Times New Roman"/>
          <w:sz w:val="18"/>
          <w:szCs w:val="18"/>
        </w:rPr>
        <w:t xml:space="preserve">Table 6.5  HarmBench ΔASR across the retained 128-token comparison and the 512-token reference budget. Source: results_512/analysis/genlen_robustness.json.</w:t>
      </w:r>
    </w:p>
    <w:p>
      <w:pPr>
        <w:spacing w:after="160" w:line="360"/>
        <w:jc w:val="both"/>
      </w:pPr>
      <w:r>
        <w:rPr>
          <w:rFonts w:ascii="Times New Roman" w:cs="Times New Roman" w:eastAsia="Times New Roman" w:hAnsi="Times New Roman"/>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0.68–0.95, matching the 0.60–0.95 range reported for the 128-token run, so the scorer is no less reliable at the reference budget.</w:t>
      </w:r>
    </w:p>
    <w:p>
      <w:pPr>
        <w:spacing w:after="160" w:line="360"/>
        <w:jc w:val="both"/>
      </w:pPr>
      <w:r>
        <w:rPr>
          <w:rFonts w:ascii="Times New Roman" w:cs="Times New Roman" w:eastAsia="Times New Roman" w:hAnsi="Times New Roman"/>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60"/>
        <w:jc w:val="both"/>
      </w:pPr>
      <w:r>
        <w:rPr>
          <w:rFonts w:ascii="Times New Roman" w:cs="Times New Roman" w:eastAsia="Times New Roman" w:hAnsi="Times New Roman"/>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covers three pairs (Qwen3-1.7B, Qwen3-4B, Llama), not all five.</w:t>
      </w:r>
    </w:p>
    <w:p>
      <w:pPr>
        <w:pStyle w:val="Heading1"/>
        <w:pageBreakBefore/>
        <w:spacing w:after="200" w:before="36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Times New Roman" w:cs="Times New Roman" w:eastAsia="Times New Roman" w:hAnsi="Times New Roman"/>
          <w:b/>
          <w:bCs/>
          <w:sz w:val="26"/>
          <w:szCs w:val="26"/>
        </w:rPr>
        <w:t xml:space="preserve">7.1 Internal Validity</w:t>
      </w:r>
    </w:p>
    <w:p>
      <w:pPr>
        <w:spacing w:after="160" w:line="360"/>
        <w:jc w:val="both"/>
      </w:pPr>
      <w:r>
        <w:rPr>
          <w:rFonts w:ascii="Times New Roman" w:cs="Times New Roman" w:eastAsia="Times New Roman" w:hAnsi="Times New Roman"/>
          <w:sz w:val="22"/>
          <w:szCs w:val="22"/>
        </w:rPr>
        <w:t xml:space="preserve">Internal validity is the strongest property of the present design. The matched-pair structure, combined with on-the-fly NF4 quantization from identical baseline weights, isolates quantization as the experimental variable against model-provenance confounds. The design leaves few plausible alternative explanations for an observed delta beyond the quantization step itself, the act of loading the same checkpoint twice, or measurement noise — with the important qualification, established in §6.5 and §6.12, that the choice of harm scorer, over-refusal scorer, and answer-parser is itself a measurement variable that moves the observed deltas, so "few alternatives" refers to model-provenance confounds, not to scoring choices.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ensures every reported metric is computed from a complete raw.jsonl with exactly the configured number of prompts; on resume it keys on prompt IDs, and every row carries per-record provenance (seed, model_id, generation_config) for audit. All ten target-model runs of the primary 512-token study completed under the same conditions, hardware, and software stack.</w:t>
      </w:r>
    </w:p>
    <w:p>
      <w:pPr>
        <w:pStyle w:val="Heading2"/>
        <w:spacing w:after="140" w:before="280"/>
      </w:pPr>
      <w:r>
        <w:rPr>
          <w:rFonts w:ascii="Times New Roman" w:cs="Times New Roman" w:eastAsia="Times New Roman" w:hAnsi="Times New Roman"/>
          <w:b/>
          <w:bCs/>
          <w:sz w:val="26"/>
          <w:szCs w:val="26"/>
        </w:rPr>
        <w:t xml:space="preserve">7.2 External Validity</w:t>
      </w:r>
    </w:p>
    <w:p>
      <w:pPr>
        <w:spacing w:after="160" w:line="360"/>
        <w:jc w:val="both"/>
      </w:pPr>
      <w:r>
        <w:rPr>
          <w:rFonts w:ascii="Times New Roman" w:cs="Times New Roman" w:eastAsia="Times New Roman" w:hAnsi="Times New Roman"/>
          <w:sz w:val="22"/>
          <w:szCs w:val="22"/>
        </w:rPr>
        <w:t xml:space="preserve">External validity is bounded by five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Times New Roman" w:cs="Times New Roman" w:eastAsia="Times New Roman" w:hAnsi="Times New Roman"/>
          <w:b/>
          <w:bCs/>
          <w:sz w:val="26"/>
          <w:szCs w:val="26"/>
        </w:rPr>
        <w:t xml:space="preserve">7.3 Construct Validity</w:t>
      </w:r>
    </w:p>
    <w:p>
      <w:pPr>
        <w:spacing w:after="160" w:line="360"/>
        <w:jc w:val="both"/>
      </w:pPr>
      <w:r>
        <w:rPr>
          <w:rFonts w:ascii="Times New Roman" w:cs="Times New Roman" w:eastAsia="Times New Roman" w:hAnsi="Times New Roman"/>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Times New Roman" w:cs="Times New Roman" w:eastAsia="Times New Roman" w:hAnsi="Times New Roman"/>
          <w:b/>
          <w:bCs/>
          <w:sz w:val="26"/>
          <w:szCs w:val="26"/>
        </w:rPr>
        <w:t xml:space="preserve">7.4 Scorer Choice and Remaining Validity Threat</w:t>
      </w:r>
    </w:p>
    <w:p>
      <w:pPr>
        <w:spacing w:after="160" w:line="360"/>
        <w:jc w:val="both"/>
      </w:pPr>
      <w:r>
        <w:rPr>
          <w:rFonts w:ascii="Times New Roman" w:cs="Times New Roman" w:eastAsia="Times New Roman" w:hAnsi="Times New Roman"/>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(LlamaGuard) is the natural complementary cross-check; that guard has since been run, with verification and fold-in pending, so this revision carries the two-judge and human-grounded validation only.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 not reproduced by the judge — so a human-labelled refusal gold set is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Times New Roman" w:cs="Times New Roman" w:eastAsia="Times New Roman" w:hAnsi="Times New Roman"/>
          <w:b/>
          <w:bCs/>
          <w:sz w:val="26"/>
          <w:szCs w:val="26"/>
        </w:rPr>
        <w:t xml:space="preserve">7.5 Cross-Family Comparison Caveat</w:t>
      </w:r>
    </w:p>
    <w:p>
      <w:pPr>
        <w:spacing w:after="160" w:line="360"/>
        <w:jc w:val="both"/>
      </w:pPr>
      <w:r>
        <w:rPr>
          <w:rFonts w:ascii="Times New Roman" w:cs="Times New Roman" w:eastAsia="Times New Roman" w:hAnsi="Times New Roman"/>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Times New Roman" w:cs="Times New Roman" w:eastAsia="Times New Roman" w:hAnsi="Times New Roman"/>
          <w:b/>
          <w:bCs/>
          <w:sz w:val="26"/>
          <w:szCs w:val="26"/>
        </w:rPr>
        <w:t xml:space="preserve">7.6 Deployment Implications</w:t>
      </w:r>
    </w:p>
    <w:p>
      <w:pPr>
        <w:spacing w:after="160" w:line="360"/>
        <w:jc w:val="both"/>
      </w:pPr>
      <w:r>
        <w:rPr>
          <w:rFonts w:ascii="Times New Roman" w:cs="Times New Roman" w:eastAsia="Times New Roman" w:hAnsi="Times New Roman"/>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Times New Roman" w:cs="Times New Roman" w:eastAsia="Times New Roman" w:hAnsi="Times New Roman"/>
          <w:b/>
          <w:bCs/>
          <w:sz w:val="26"/>
          <w:szCs w:val="26"/>
        </w:rPr>
        <w:t xml:space="preserve">7.7 Positioning Against Prior Work</w:t>
      </w:r>
    </w:p>
    <w:p>
      <w:pPr>
        <w:spacing w:after="160" w:line="360"/>
        <w:jc w:val="both"/>
      </w:pPr>
      <w:r>
        <w:rPr>
          <w:rFonts w:ascii="Times New Roman" w:cs="Times New Roman" w:eastAsia="Times New Roman" w:hAnsi="Times New Roman"/>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 Hong et al. [16], across a broader trust taxonomy —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Times New Roman" w:cs="Times New Roman" w:eastAsia="Times New Roman" w:hAnsi="Times New Roman"/>
          <w:b/>
          <w:bCs/>
          <w:sz w:val="32"/>
          <w:szCs w:val="32"/>
        </w:rPr>
        <w:t xml:space="preserve">Chapter 8: Limitations</w:t>
      </w:r>
    </w:p>
    <w:p>
      <w:pPr>
        <w:spacing w:after="160" w:line="360"/>
        <w:jc w:val="both"/>
      </w:pPr>
      <w:r>
        <w:rPr>
          <w:rFonts w:ascii="Times New Roman" w:cs="Times New Roman" w:eastAsia="Times New Roman" w:hAnsi="Times New Roman"/>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Times New Roman" w:cs="Times New Roman" w:eastAsia="Times New Roman" w:hAnsi="Times New Roman"/>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Times New Roman" w:cs="Times New Roman" w:eastAsia="Times New Roman" w:hAnsi="Times New Roman"/>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Times New Roman" w:cs="Times New Roman" w:eastAsia="Times New Roman" w:hAnsi="Times New Roman"/>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Times New Roman" w:cs="Times New Roman" w:eastAsia="Times New Roman" w:hAnsi="Times New Roman"/>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Times New Roman" w:cs="Times New Roman" w:eastAsia="Times New Roman" w:hAnsi="Times New Roman"/>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ARC is subject to the same asymmetry even more strongly for this pair (52.3% of the 4-bit member's ARC items fall to the lenient fallback versus 2.5% at fp16), so its near-zero primary delta (−0.009) reflects the lenient parser salvaging format-broken answers, not immunity; under a strict parser ARC and MMLU fall comparably (−0.343 and −0.293, both significant). ARC therefore corroborates the direction of the loss under both parsers but not its lenient-parser smallness — each benchmark's magnitude is best read as a bracket between the lenient and strict parsers (§6.5).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Times New Roman" w:cs="Times New Roman" w:eastAsia="Times New Roman" w:hAnsi="Times New Roman"/>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Times New Roman" w:cs="Times New Roman" w:eastAsia="Times New Roman" w:hAnsi="Times New Roman"/>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Times New Roman" w:cs="Times New Roman" w:eastAsia="Times New Roman" w:hAnsi="Times New Roman"/>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The same symmetric arm has since been extended to the two remaining pairs (Mistral, Phi); those results are being verified and will be folded into a subsequent revision, so this revision reports the three verified pairs.</w:t>
      </w:r>
    </w:p>
    <w:p>
      <w:pPr>
        <w:pStyle w:val="ListParagraph"/>
        <w:numPr>
          <w:ilvl w:val="0"/>
          <w:numId w:val="5"/>
        </w:numPr>
        <w:spacing w:after="80" w:line="280"/>
      </w:pPr>
      <w:r>
        <w:rPr>
          <w:rFonts w:ascii="Times New Roman" w:cs="Times New Roman" w:eastAsia="Times New Roman" w:hAnsi="Times New Roman"/>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 role-playing both sides of a short dialogue —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Times New Roman" w:cs="Times New Roman" w:eastAsia="Times New Roman" w:hAnsi="Times New Roman"/>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Times New Roman" w:cs="Times New Roman" w:eastAsia="Times New Roman" w:hAnsi="Times New Roman"/>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 the evidence rules out any harmful-compliance increase larger than that detectable effect, not that the change is exactly zero — and pre-registering a smallest effect of interest and powering the design to it, including the two pairs (Mistral, Phi) not yet covered by the multi-seed arm, is noted in Chapter 9.</w:t>
      </w:r>
    </w:p>
    <w:p>
      <w:pPr>
        <w:pStyle w:val="ListParagraph"/>
        <w:numPr>
          <w:ilvl w:val="0"/>
          <w:numId w:val="5"/>
        </w:numPr>
        <w:spacing w:after="80" w:line="280"/>
      </w:pPr>
      <w:r>
        <w:rPr>
          <w:rFonts w:ascii="Times New Roman" w:cs="Times New Roman" w:eastAsia="Times New Roman" w:hAnsi="Times New Roman"/>
          <w:sz w:val="22"/>
          <w:szCs w:val="22"/>
        </w:rPr>
        <w:t xml:space="preserve">Model-weight provenance (pinned). Each of the five model repositories is pinned by Hugging Face commit hash — the optional revision field (Appendix C) set on every entry in configs/tc1.yaml and configs/tc1_512.yaml (Appendix A) —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Times New Roman" w:cs="Times New Roman" w:eastAsia="Times New Roman" w:hAnsi="Times New Roman"/>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Times New Roman" w:cs="Times New Roman" w:eastAsia="Times New Roman" w:hAnsi="Times New Roman"/>
          <w:b/>
          <w:bCs/>
          <w:sz w:val="32"/>
          <w:szCs w:val="32"/>
        </w:rPr>
        <w:t xml:space="preserve">Chapter 9: Future Work</w:t>
      </w:r>
    </w:p>
    <w:p>
      <w:pPr>
        <w:spacing w:after="160" w:line="360"/>
        <w:jc w:val="both"/>
      </w:pPr>
      <w:r>
        <w:rPr>
          <w:rFonts w:ascii="Times New Roman" w:cs="Times New Roman" w:eastAsia="Times New Roman" w:hAnsi="Times New Roman"/>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Times New Roman" w:cs="Times New Roman" w:eastAsia="Times New Roman" w:hAnsi="Times New Roman"/>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highest-leverage extension of the safety axis.</w:t>
      </w:r>
    </w:p>
    <w:p>
      <w:pPr>
        <w:pStyle w:val="ListParagraph"/>
        <w:numPr>
          <w:ilvl w:val="0"/>
          <w:numId w:val="6"/>
        </w:numPr>
        <w:spacing w:after="80" w:line="280"/>
      </w:pPr>
      <w:r>
        <w:rPr>
          <w:rFonts w:ascii="Times New Roman" w:cs="Times New Roman" w:eastAsia="Times New Roman" w:hAnsi="Times New Roman"/>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Times New Roman" w:cs="Times New Roman" w:eastAsia="Times New Roman" w:hAnsi="Times New Roman"/>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Times New Roman" w:cs="Times New Roman" w:eastAsia="Times New Roman" w:hAnsi="Times New Roman"/>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Times New Roman" w:cs="Times New Roman" w:eastAsia="Times New Roman" w:hAnsi="Times New Roman"/>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Times New Roman" w:cs="Times New Roman" w:eastAsia="Times New Roman" w:hAnsi="Times New Roman"/>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(n.s.; a directional alignment_degradation on the tolerance boundary, κ 0.67), so adding two families leaves the null-safety conclusion intact and reinforces the judge-over-proxy finding (D16) in two further families.</w:t>
      </w:r>
    </w:p>
    <w:p>
      <w:pPr>
        <w:pStyle w:val="ListParagraph"/>
        <w:numPr>
          <w:ilvl w:val="0"/>
          <w:numId w:val="6"/>
        </w:numPr>
        <w:spacing w:after="80" w:line="280"/>
      </w:pPr>
      <w:r>
        <w:rPr>
          <w:rFonts w:ascii="Times New Roman" w:cs="Times New Roman" w:eastAsia="Times New Roman" w:hAnsi="Times New Roman"/>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Times New Roman" w:cs="Times New Roman" w:eastAsia="Times New Roman" w:hAnsi="Times New Roman"/>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Times New Roman" w:cs="Times New Roman" w:eastAsia="Times New Roman" w:hAnsi="Times New Roman"/>
          <w:sz w:val="22"/>
          <w:szCs w:val="22"/>
        </w:rPr>
        <w:t xml:space="preserve">Fully-independent open-weight second judge, and a second human annotator. The primary HarmBench classifier has now been cross-checked against a second frontier judge (gpt-4o, prompted with a condensed yes/no rubric encoding the same harmful-behaviour criterion), which agreed strongly per prompt (κ 0.60–0.95 across all ten models, 0.68–0.95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verify and fold in the already-run open-weight guard-model cross-check (LlamaGuard, via the already-wired --backend llamaguard on TC1) so its confirmation becomes a fully reproducible complement to the versioned API model; and (ii) a refusal-style judge for XSTest over-refusal has now been run as a sensitivity layer (§6.12, Result 6; gpt-4o, three-class taxonomy, 3,750 responses, zero parse failures), finding the one multiplicity-robust over-refusal contrast to be scorer-dependent — what remains there is a human-labelled refusal gold set to ground the judge against truth, exactly as the HarmBench human audit (Result 5) grounds the classifier. All are derived validation layers writing separate redacted sidecars, never modifying raw.jsonl, summary.json, or existing sidecars.</w:t>
      </w:r>
    </w:p>
    <w:p>
      <w:pPr>
        <w:pStyle w:val="ListParagraph"/>
        <w:numPr>
          <w:ilvl w:val="0"/>
          <w:numId w:val="6"/>
        </w:numPr>
        <w:spacing w:after="80" w:line="280"/>
      </w:pPr>
      <w:r>
        <w:rPr>
          <w:rFonts w:ascii="Times New Roman" w:cs="Times New Roman" w:eastAsia="Times New Roman" w:hAnsi="Times New Roman"/>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60"/>
        <w:jc w:val="both"/>
      </w:pPr>
      <w:r>
        <w:rPr>
          <w:rFonts w:ascii="Times New Roman" w:cs="Times New Roman" w:eastAsia="Times New Roman" w:hAnsi="Times New Roman"/>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382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60"/>
        <w:jc w:val="both"/>
      </w:pPr>
      <w:r>
        <w:rPr>
          <w:rFonts w:ascii="Times New Roman" w:cs="Times New Roman" w:eastAsia="Times New Roman" w:hAnsi="Times New Roman"/>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 the last regex-scored and scorer-dependent, not reproduced by an independent refusal judge, §6.12), so within this study's detection bounds (minimum detectable ΔASR ≈ 0.06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shows a non-significant +0.020 ΔASR (a directional alignment_degradation on the tolerance boundary, not a confirmed regression)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60"/>
        <w:jc w:val="both"/>
      </w:pPr>
      <w:r>
        <w:rPr>
          <w:rFonts w:ascii="Times New Roman" w:cs="Times New Roman" w:eastAsia="Times New Roman" w:hAnsi="Times New Roman"/>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under the primary regex scorer (a benign-direction change that an independent refusal judge does not reproduce, §6.12),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Times New Roman" w:cs="Times New Roman" w:eastAsia="Times New Roman" w:hAnsi="Times New Roman"/>
          <w:b/>
          <w:bCs/>
          <w:sz w:val="32"/>
          <w:szCs w:val="32"/>
        </w:rPr>
        <w:t xml:space="preserve">References</w:t>
      </w:r>
    </w:p>
    <w:p>
      <w:pPr>
        <w:spacing w:after="200" w:line="360"/>
      </w:pPr>
      <w:r>
        <w:rPr>
          <w:rFonts w:ascii="Times New Roman" w:cs="Times New Roman" w:eastAsia="Times New Roman" w:hAnsi="Times New Roman"/>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Times New Roman" w:cs="Times New Roman" w:eastAsia="Times New Roman" w:hAnsi="Times New Roman"/>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Times New Roman" w:cs="Times New Roman" w:eastAsia="Times New Roman" w:hAnsi="Times New Roman"/>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Times New Roman" w:cs="Times New Roman" w:eastAsia="Times New Roman" w:hAnsi="Times New Roman"/>
          <w:sz w:val="22"/>
          <w:szCs w:val="22"/>
        </w:rPr>
        <w:t xml:space="preserve">Z. Zhang et al., “SafetyBench: Evaluating the safety of large language models,” in Proc. Association for Computational Linguistics (ACL), 2024. arXiv:2309.07045.</w:t>
      </w:r>
    </w:p>
    <w:p>
      <w:pPr>
        <w:pStyle w:val="ListParagraph"/>
        <w:numPr>
          <w:ilvl w:val="0"/>
          <w:numId w:val="7"/>
        </w:numPr>
        <w:spacing w:after="80" w:line="280"/>
      </w:pPr>
      <w:r>
        <w:rPr>
          <w:rFonts w:ascii="Times New Roman" w:cs="Times New Roman" w:eastAsia="Times New Roman" w:hAnsi="Times New Roman"/>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Times New Roman" w:cs="Times New Roman" w:eastAsia="Times New Roman" w:hAnsi="Times New Roman"/>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Times New Roman" w:cs="Times New Roman" w:eastAsia="Times New Roman" w:hAnsi="Times New Roman"/>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Times New Roman" w:cs="Times New Roman" w:eastAsia="Times New Roman" w:hAnsi="Times New Roman"/>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Times New Roman" w:cs="Times New Roman" w:eastAsia="Times New Roman" w:hAnsi="Times New Roman"/>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Times New Roman" w:cs="Times New Roman" w:eastAsia="Times New Roman" w:hAnsi="Times New Roman"/>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Times New Roman" w:cs="Times New Roman" w:eastAsia="Times New Roman" w:hAnsi="Times New Roman"/>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Times New Roman" w:cs="Times New Roman" w:eastAsia="Times New Roman" w:hAnsi="Times New Roman"/>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Times New Roman" w:cs="Times New Roman" w:eastAsia="Times New Roman" w:hAnsi="Times New Roman"/>
          <w:sz w:val="22"/>
          <w:szCs w:val="22"/>
        </w:rPr>
        <w:t xml:space="preserve">A. Kharinaev, V. Moskvoretskii, E. Shvetsov et al., “Investigating the impact of quantization methods on the safety and reliability of large language models,” IEEE Access, vol. 14, 2026, doi: 10.1109/ACCESS.2026.3703899. arXiv:2502.15799.</w:t>
      </w:r>
    </w:p>
    <w:p>
      <w:pPr>
        <w:pStyle w:val="ListParagraph"/>
        <w:numPr>
          <w:ilvl w:val="0"/>
          <w:numId w:val="7"/>
        </w:numPr>
        <w:spacing w:after="80" w:line="280"/>
      </w:pPr>
      <w:r>
        <w:rPr>
          <w:rFonts w:ascii="Times New Roman" w:cs="Times New Roman" w:eastAsia="Times New Roman" w:hAnsi="Times New Roman"/>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Times New Roman" w:cs="Times New Roman" w:eastAsia="Times New Roman" w:hAnsi="Times New Roman"/>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Times New Roman" w:cs="Times New Roman" w:eastAsia="Times New Roman" w:hAnsi="Times New Roman"/>
          <w:sz w:val="22"/>
          <w:szCs w:val="22"/>
        </w:rPr>
        <w:t xml:space="preserve">K. Chen, J. Zhang, J. Hu et al., “Q-resafe: Assessing safety risks and quantization-aware safety patching for quantized large language models,” in Proc. International Conference on Machine Learning (ICML), 2025. arXiv:2506.20251.</w:t>
      </w:r>
    </w:p>
    <w:p>
      <w:pPr>
        <w:pStyle w:val="ListParagraph"/>
        <w:numPr>
          <w:ilvl w:val="0"/>
          <w:numId w:val="7"/>
        </w:numPr>
        <w:spacing w:after="80" w:line="280"/>
      </w:pPr>
      <w:r>
        <w:rPr>
          <w:rFonts w:ascii="Times New Roman" w:cs="Times New Roman" w:eastAsia="Times New Roman" w:hAnsi="Times New Roman"/>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Times New Roman" w:cs="Times New Roman" w:eastAsia="Times New Roman" w:hAnsi="Times New Roman"/>
          <w:sz w:val="22"/>
          <w:szCs w:val="22"/>
        </w:rPr>
        <w:t xml:space="preserve">A. Yang et al. (Qwen Team), “Qwen3 technical report,” Alibaba Group, 2025. arXiv:2505.09388.</w:t>
      </w:r>
    </w:p>
    <w:p>
      <w:pPr>
        <w:pStyle w:val="ListParagraph"/>
        <w:numPr>
          <w:ilvl w:val="0"/>
          <w:numId w:val="7"/>
        </w:numPr>
        <w:spacing w:after="80" w:line="280"/>
      </w:pPr>
      <w:r>
        <w:rPr>
          <w:rFonts w:ascii="Times New Roman" w:cs="Times New Roman" w:eastAsia="Times New Roman" w:hAnsi="Times New Roman"/>
          <w:sz w:val="22"/>
          <w:szCs w:val="22"/>
        </w:rPr>
        <w:t xml:space="preserve">A. Grattafiori et al. (Meta AI), “The Llama 3 herd of models,” Meta AI, 2024. arXiv:2407.21783.</w:t>
      </w:r>
    </w:p>
    <w:p>
      <w:pPr>
        <w:pStyle w:val="ListParagraph"/>
        <w:numPr>
          <w:ilvl w:val="0"/>
          <w:numId w:val="7"/>
        </w:numPr>
        <w:spacing w:after="80" w:line="280"/>
      </w:pPr>
      <w:r>
        <w:rPr>
          <w:rFonts w:ascii="Times New Roman" w:cs="Times New Roman" w:eastAsia="Times New Roman" w:hAnsi="Times New Roman"/>
          <w:sz w:val="22"/>
          <w:szCs w:val="22"/>
        </w:rPr>
        <w:t xml:space="preserve">B. Efron and R. J. Tibshirani, An Introduction to the Bootstrap. New York: Chapman &amp; Hall, 1993.</w:t>
      </w:r>
    </w:p>
    <w:p>
      <w:pPr>
        <w:pStyle w:val="ListParagraph"/>
        <w:numPr>
          <w:ilvl w:val="0"/>
          <w:numId w:val="7"/>
        </w:numPr>
        <w:spacing w:after="80" w:line="280"/>
      </w:pPr>
      <w:r>
        <w:rPr>
          <w:rFonts w:ascii="Times New Roman" w:cs="Times New Roman" w:eastAsia="Times New Roman" w:hAnsi="Times New Roman"/>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Times New Roman" w:cs="Times New Roman" w:eastAsia="Times New Roman" w:hAnsi="Times New Roman"/>
          <w:sz w:val="22"/>
          <w:szCs w:val="22"/>
        </w:rPr>
        <w:t xml:space="preserve">A. Q. Jiang et al., “Mistral 7B,” Mistral AI, 2023. arXiv:2310.06825.</w:t>
      </w:r>
    </w:p>
    <w:p>
      <w:pPr>
        <w:pStyle w:val="ListParagraph"/>
        <w:numPr>
          <w:ilvl w:val="0"/>
          <w:numId w:val="7"/>
        </w:numPr>
        <w:spacing w:after="80" w:line="280"/>
      </w:pPr>
      <w:r>
        <w:rPr>
          <w:rFonts w:ascii="Times New Roman" w:cs="Times New Roman" w:eastAsia="Times New Roman" w:hAnsi="Times New Roman"/>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Times New Roman" w:cs="Times New Roman" w:eastAsia="Times New Roman" w:hAnsi="Times New Roman"/>
          <w:sz w:val="22"/>
          <w:szCs w:val="22"/>
        </w:rPr>
        <w:t xml:space="preserve">J. Gu et al., “A survey on LLM-as-a-judge,” arXiv:2411.15594, 2024.</w:t>
      </w:r>
    </w:p>
    <w:p>
      <w:pPr>
        <w:pStyle w:val="ListParagraph"/>
        <w:numPr>
          <w:ilvl w:val="0"/>
          <w:numId w:val="7"/>
        </w:numPr>
        <w:spacing w:after="80" w:line="280"/>
      </w:pPr>
      <w:r>
        <w:rPr>
          <w:rFonts w:ascii="Times New Roman" w:cs="Times New Roman" w:eastAsia="Times New Roman" w:hAnsi="Times New Roman"/>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Times New Roman" w:cs="Times New Roman" w:eastAsia="Times New Roman" w:hAnsi="Times New Roman"/>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Times New Roman" w:cs="Times New Roman" w:eastAsia="Times New Roman" w:hAnsi="Times New Roman"/>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Times New Roman" w:cs="Times New Roman" w:eastAsia="Times New Roman" w:hAnsi="Times New Roman"/>
          <w:b/>
          <w:bCs/>
          <w:sz w:val="32"/>
          <w:szCs w:val="32"/>
        </w:rPr>
        <w:t xml:space="preserve">Appendix A: Final TC1 Configuration</w:t>
      </w:r>
    </w:p>
    <w:p>
      <w:pPr>
        <w:spacing w:after="160" w:line="360"/>
        <w:jc w:val="both"/>
      </w:pPr>
      <w:r>
        <w:rPr>
          <w:rFonts w:ascii="Times New Roman" w:cs="Times New Roman" w:eastAsia="Times New Roman" w:hAnsi="Times New Roman"/>
          <w:sz w:val="22"/>
          <w:szCs w:val="22"/>
        </w:rPr>
        <w:t xml:space="preserve">The full configs/tc1_512.yaml — the configuration of the primary 512-token study (D41) —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Times New Roman" w:cs="Times New Roman" w:eastAsia="Times New Roman" w:hAnsi="Times New Roman"/>
          <w:b/>
          <w:bCs/>
          <w:sz w:val="32"/>
          <w:szCs w:val="32"/>
        </w:rPr>
        <w:t xml:space="preserve">Appendix B: Example Generated SLURM Script</w:t>
      </w:r>
    </w:p>
    <w:p>
      <w:pPr>
        <w:spacing w:after="160" w:line="360"/>
        <w:jc w:val="both"/>
      </w:pPr>
      <w:r>
        <w:rPr>
          <w:rFonts w:ascii="Times New Roman" w:cs="Times New Roman" w:eastAsia="Times New Roman" w:hAnsi="Times New Roman"/>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Times New Roman" w:cs="Times New Roman" w:eastAsia="Times New Roman" w:hAnsi="Times New Roman"/>
          <w:b/>
          <w:bCs/>
          <w:sz w:val="32"/>
          <w:szCs w:val="32"/>
        </w:rPr>
        <w:t xml:space="preserve">Appendix C: Pydantic Configuration Schema Summary</w:t>
      </w:r>
    </w:p>
    <w:p>
      <w:pPr>
        <w:spacing w:after="160" w:line="360"/>
        <w:jc w:val="both"/>
      </w:pPr>
      <w:r>
        <w:rPr>
          <w:rFonts w:ascii="Times New Roman" w:cs="Times New Roman" w:eastAsia="Times New Roman" w:hAnsi="Times New Roman"/>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Times New Roman" w:cs="Times New Roman" w:eastAsia="Times New Roman" w:hAnsi="Times New Roman"/>
          <w:b/>
          <w:bCs/>
          <w:sz w:val="24"/>
          <w:szCs w:val="24"/>
        </w:rPr>
        <w:t xml:space="preserve">Top-level QuantizationConfig</w:t>
      </w:r>
    </w:p>
    <w:p>
      <w:pPr>
        <w:pStyle w:val="ListParagraph"/>
        <w:numPr>
          <w:ilvl w:val="0"/>
          <w:numId w:val="2"/>
        </w:numPr>
        <w:spacing w:after="80" w:line="280"/>
      </w:pPr>
      <w:r>
        <w:rPr>
          <w:rFonts w:ascii="Times New Roman" w:cs="Times New Roman" w:eastAsia="Times New Roman" w:hAnsi="Times New Roman"/>
          <w:sz w:val="22"/>
          <w:szCs w:val="22"/>
        </w:rPr>
        <w:t xml:space="preserve">study_name : str : human-readable study identifier.</w:t>
      </w:r>
    </w:p>
    <w:p>
      <w:pPr>
        <w:pStyle w:val="ListParagraph"/>
        <w:numPr>
          <w:ilvl w:val="0"/>
          <w:numId w:val="2"/>
        </w:numPr>
        <w:spacing w:after="80" w:line="280"/>
      </w:pPr>
      <w:r>
        <w:rPr>
          <w:rFonts w:ascii="Times New Roman" w:cs="Times New Roman" w:eastAsia="Times New Roman" w:hAnsi="Times New Roman"/>
          <w:sz w:val="22"/>
          <w:szCs w:val="22"/>
        </w:rPr>
        <w:t xml:space="preserve">models : dict[str, ModelConfig] : keyed by model alias.</w:t>
      </w:r>
    </w:p>
    <w:p>
      <w:pPr>
        <w:pStyle w:val="ListParagraph"/>
        <w:numPr>
          <w:ilvl w:val="0"/>
          <w:numId w:val="2"/>
        </w:numPr>
        <w:spacing w:after="80" w:line="280"/>
      </w:pPr>
      <w:r>
        <w:rPr>
          <w:rFonts w:ascii="Times New Roman" w:cs="Times New Roman" w:eastAsia="Times New Roman" w:hAnsi="Times New Roman"/>
          <w:sz w:val="22"/>
          <w:szCs w:val="22"/>
        </w:rPr>
        <w:t xml:space="preserve">decoding : DecodingConfig : generation parameters.</w:t>
      </w:r>
    </w:p>
    <w:p>
      <w:pPr>
        <w:pStyle w:val="ListParagraph"/>
        <w:numPr>
          <w:ilvl w:val="0"/>
          <w:numId w:val="2"/>
        </w:numPr>
        <w:spacing w:after="80" w:line="280"/>
      </w:pPr>
      <w:r>
        <w:rPr>
          <w:rFonts w:ascii="Times New Roman" w:cs="Times New Roman" w:eastAsia="Times New Roman" w:hAnsi="Times New Roman"/>
          <w:sz w:val="22"/>
          <w:szCs w:val="22"/>
        </w:rPr>
        <w:t xml:space="preserve">benchmarks : dict[str, BenchmarkConfig] : keyed by benchmark name.</w:t>
      </w:r>
    </w:p>
    <w:p>
      <w:pPr>
        <w:pStyle w:val="ListParagraph"/>
        <w:numPr>
          <w:ilvl w:val="0"/>
          <w:numId w:val="2"/>
        </w:numPr>
        <w:spacing w:after="80" w:line="280"/>
      </w:pPr>
      <w:r>
        <w:rPr>
          <w:rFonts w:ascii="Times New Roman" w:cs="Times New Roman" w:eastAsia="Times New Roman" w:hAnsi="Times New Roman"/>
          <w:sz w:val="22"/>
          <w:szCs w:val="22"/>
        </w:rPr>
        <w:t xml:space="preserve">slurm : SlurmConfig : cluster directives and bootstrap.</w:t>
      </w:r>
    </w:p>
    <w:p>
      <w:pPr>
        <w:pStyle w:val="Heading3"/>
        <w:spacing w:after="120" w:before="220"/>
      </w:pPr>
      <w:r>
        <w:rPr>
          <w:rFonts w:ascii="Times New Roman" w:cs="Times New Roman" w:eastAsia="Times New Roman" w:hAnsi="Times New Roman"/>
          <w:b/>
          <w:bCs/>
          <w:sz w:val="24"/>
          <w:szCs w:val="24"/>
        </w:rPr>
        <w:t xml:space="preserve">ModelConfig</w:t>
      </w:r>
    </w:p>
    <w:p>
      <w:pPr>
        <w:pStyle w:val="ListParagraph"/>
        <w:numPr>
          <w:ilvl w:val="0"/>
          <w:numId w:val="2"/>
        </w:numPr>
        <w:spacing w:after="80" w:line="280"/>
      </w:pPr>
      <w:r>
        <w:rPr>
          <w:rFonts w:ascii="Times New Roman" w:cs="Times New Roman" w:eastAsia="Times New Roman" w:hAnsi="Times New Roman"/>
          <w:sz w:val="22"/>
          <w:szCs w:val="22"/>
        </w:rPr>
        <w:t xml:space="preserve">family : str : e.g. "qwen", "llama".</w:t>
      </w:r>
    </w:p>
    <w:p>
      <w:pPr>
        <w:pStyle w:val="ListParagraph"/>
        <w:numPr>
          <w:ilvl w:val="0"/>
          <w:numId w:val="2"/>
        </w:numPr>
        <w:spacing w:after="80" w:line="280"/>
      </w:pPr>
      <w:r>
        <w:rPr>
          <w:rFonts w:ascii="Times New Roman" w:cs="Times New Roman" w:eastAsia="Times New Roman" w:hAnsi="Times New Roman"/>
          <w:sz w:val="22"/>
          <w:szCs w:val="22"/>
        </w:rPr>
        <w:t xml:space="preserve">size_b : float : parameter count in billions.</w:t>
      </w:r>
    </w:p>
    <w:p>
      <w:pPr>
        <w:pStyle w:val="ListParagraph"/>
        <w:numPr>
          <w:ilvl w:val="0"/>
          <w:numId w:val="2"/>
        </w:numPr>
        <w:spacing w:after="80" w:line="280"/>
      </w:pPr>
      <w:r>
        <w:rPr>
          <w:rFonts w:ascii="Times New Roman" w:cs="Times New Roman" w:eastAsia="Times New Roman" w:hAnsi="Times New Roman"/>
          <w:sz w:val="22"/>
          <w:szCs w:val="22"/>
        </w:rPr>
        <w:t xml:space="preserve">quantized : bool : true triggers on-the-fly quantized loading.</w:t>
      </w:r>
    </w:p>
    <w:p>
      <w:pPr>
        <w:pStyle w:val="ListParagraph"/>
        <w:numPr>
          <w:ilvl w:val="0"/>
          <w:numId w:val="2"/>
        </w:numPr>
        <w:spacing w:after="80" w:line="280"/>
      </w:pPr>
      <w:r>
        <w:rPr>
          <w:rFonts w:ascii="Times New Roman" w:cs="Times New Roman" w:eastAsia="Times New Roman" w:hAnsi="Times New Roman"/>
          <w:sz w:val="22"/>
          <w:szCs w:val="22"/>
        </w:rPr>
        <w:t xml:space="preserve">quant_method : str | None : quantization method when quantized=true —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Times New Roman" w:cs="Times New Roman" w:eastAsia="Times New Roman" w:hAnsi="Times New Roman"/>
          <w:sz w:val="22"/>
          <w:szCs w:val="22"/>
        </w:rPr>
        <w:t xml:space="preserve">pair_id : str : links baseline and 4-bit members of the same pair.</w:t>
      </w:r>
    </w:p>
    <w:p>
      <w:pPr>
        <w:pStyle w:val="ListParagraph"/>
        <w:numPr>
          <w:ilvl w:val="0"/>
          <w:numId w:val="2"/>
        </w:numPr>
        <w:spacing w:after="80" w:line="280"/>
      </w:pPr>
      <w:r>
        <w:rPr>
          <w:rFonts w:ascii="Times New Roman" w:cs="Times New Roman" w:eastAsia="Times New Roman" w:hAnsi="Times New Roman"/>
          <w:sz w:val="22"/>
          <w:szCs w:val="22"/>
        </w:rPr>
        <w:t xml:space="preserve">model_id : str : Hugging Face repo id.</w:t>
      </w:r>
    </w:p>
    <w:p>
      <w:pPr>
        <w:pStyle w:val="ListParagraph"/>
        <w:numPr>
          <w:ilvl w:val="0"/>
          <w:numId w:val="2"/>
        </w:numPr>
        <w:spacing w:after="80" w:line="280"/>
      </w:pPr>
      <w:r>
        <w:rPr>
          <w:rFonts w:ascii="Times New Roman" w:cs="Times New Roman" w:eastAsia="Times New Roman" w:hAnsi="Times New Roman"/>
          <w:sz w:val="22"/>
          <w:szCs w:val="22"/>
        </w:rPr>
        <w:t xml:space="preserve">trust_remote_code : bool : disabled by default.</w:t>
      </w:r>
    </w:p>
    <w:p>
      <w:pPr>
        <w:pStyle w:val="ListParagraph"/>
        <w:numPr>
          <w:ilvl w:val="0"/>
          <w:numId w:val="2"/>
        </w:numPr>
        <w:spacing w:after="80" w:line="280"/>
      </w:pPr>
      <w:r>
        <w:rPr>
          <w:rFonts w:ascii="Times New Roman" w:cs="Times New Roman" w:eastAsia="Times New Roman" w:hAnsi="Times New Roman"/>
          <w:sz w:val="22"/>
          <w:szCs w:val="22"/>
        </w:rPr>
        <w:t xml:space="preserve">dtype : str : one of "auto", "float16", "bfloat16", "float32".</w:t>
      </w:r>
    </w:p>
    <w:p>
      <w:pPr>
        <w:pStyle w:val="ListParagraph"/>
        <w:numPr>
          <w:ilvl w:val="0"/>
          <w:numId w:val="2"/>
        </w:numPr>
        <w:spacing w:after="80" w:line="280"/>
      </w:pPr>
      <w:r>
        <w:rPr>
          <w:rFonts w:ascii="Times New Roman" w:cs="Times New Roman" w:eastAsia="Times New Roman" w:hAnsi="Times New Roman"/>
          <w:sz w:val="22"/>
          <w:szCs w:val="22"/>
        </w:rPr>
        <w:t xml:space="preserve">benchmarks : list[str] : must reference top-level benchmark keys.</w:t>
      </w:r>
    </w:p>
    <w:p>
      <w:pPr>
        <w:pStyle w:val="ListParagraph"/>
        <w:numPr>
          <w:ilvl w:val="0"/>
          <w:numId w:val="2"/>
        </w:numPr>
        <w:spacing w:after="80" w:line="280"/>
      </w:pPr>
      <w:r>
        <w:rPr>
          <w:rFonts w:ascii="Times New Roman" w:cs="Times New Roman" w:eastAsia="Times New Roman" w:hAnsi="Times New Roman"/>
          <w:sz w:val="22"/>
          <w:szCs w:val="22"/>
        </w:rPr>
        <w:t xml:space="preserve">revision : str | None : optional Hugging Face commit pin.</w:t>
      </w:r>
    </w:p>
    <w:p>
      <w:pPr>
        <w:pStyle w:val="Heading3"/>
        <w:spacing w:after="120" w:before="220"/>
      </w:pPr>
      <w:r>
        <w:rPr>
          <w:rFonts w:ascii="Times New Roman" w:cs="Times New Roman" w:eastAsia="Times New Roman" w:hAnsi="Times New Roman"/>
          <w:b/>
          <w:bCs/>
          <w:sz w:val="24"/>
          <w:szCs w:val="24"/>
        </w:rPr>
        <w:t xml:space="preserve">DecodingConfig</w:t>
      </w:r>
    </w:p>
    <w:p>
      <w:pPr>
        <w:pStyle w:val="ListParagraph"/>
        <w:numPr>
          <w:ilvl w:val="0"/>
          <w:numId w:val="2"/>
        </w:numPr>
        <w:spacing w:after="80" w:line="280"/>
      </w:pPr>
      <w:r>
        <w:rPr>
          <w:rFonts w:ascii="Times New Roman" w:cs="Times New Roman" w:eastAsia="Times New Roman" w:hAnsi="Times New Roman"/>
          <w:sz w:val="22"/>
          <w:szCs w:val="22"/>
        </w:rPr>
        <w:t xml:space="preserve">max_new_tokens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temperature : float (0.0–2.0)</w:t>
      </w:r>
    </w:p>
    <w:p>
      <w:pPr>
        <w:pStyle w:val="ListParagraph"/>
        <w:numPr>
          <w:ilvl w:val="0"/>
          <w:numId w:val="2"/>
        </w:numPr>
        <w:spacing w:after="80" w:line="280"/>
      </w:pPr>
      <w:r>
        <w:rPr>
          <w:rFonts w:ascii="Times New Roman" w:cs="Times New Roman" w:eastAsia="Times New Roman" w:hAnsi="Times New Roman"/>
          <w:sz w:val="22"/>
          <w:szCs w:val="22"/>
        </w:rPr>
        <w:t xml:space="preserve">top_p : float (0.0–1.0)</w:t>
      </w:r>
    </w:p>
    <w:p>
      <w:pPr>
        <w:pStyle w:val="ListParagraph"/>
        <w:numPr>
          <w:ilvl w:val="0"/>
          <w:numId w:val="2"/>
        </w:numPr>
        <w:spacing w:after="80" w:line="280"/>
      </w:pPr>
      <w:r>
        <w:rPr>
          <w:rFonts w:ascii="Times New Roman" w:cs="Times New Roman" w:eastAsia="Times New Roman" w:hAnsi="Times New Roman"/>
          <w:sz w:val="22"/>
          <w:szCs w:val="22"/>
        </w:rPr>
        <w:t xml:space="preserve">repetition_penalty : float (≥1.0)</w:t>
      </w:r>
    </w:p>
    <w:p>
      <w:pPr>
        <w:pStyle w:val="ListParagraph"/>
        <w:numPr>
          <w:ilvl w:val="0"/>
          <w:numId w:val="2"/>
        </w:numPr>
        <w:spacing w:after="80" w:line="280"/>
      </w:pPr>
      <w:r>
        <w:rPr>
          <w:rFonts w:ascii="Times New Roman" w:cs="Times New Roman" w:eastAsia="Times New Roman" w:hAnsi="Times New Roman"/>
          <w:sz w:val="22"/>
          <w:szCs w:val="22"/>
        </w:rPr>
        <w:t xml:space="preserve">max_input_tokens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use_chat_template : bool</w:t>
      </w:r>
    </w:p>
    <w:p>
      <w:pPr>
        <w:pStyle w:val="Heading3"/>
        <w:spacing w:after="120" w:before="220"/>
      </w:pPr>
      <w:r>
        <w:rPr>
          <w:rFonts w:ascii="Times New Roman" w:cs="Times New Roman" w:eastAsia="Times New Roman" w:hAnsi="Times New Roman"/>
          <w:b/>
          <w:bCs/>
          <w:sz w:val="24"/>
          <w:szCs w:val="24"/>
        </w:rPr>
        <w:t xml:space="preserve">BenchmarkConfig</w:t>
      </w:r>
    </w:p>
    <w:p>
      <w:pPr>
        <w:pStyle w:val="ListParagraph"/>
        <w:numPr>
          <w:ilvl w:val="0"/>
          <w:numId w:val="2"/>
        </w:numPr>
        <w:spacing w:after="80" w:line="280"/>
      </w:pPr>
      <w:r>
        <w:rPr>
          <w:rFonts w:ascii="Times New Roman" w:cs="Times New Roman" w:eastAsia="Times New Roman" w:hAnsi="Times New Roman"/>
          <w:sz w:val="22"/>
          <w:szCs w:val="22"/>
        </w:rPr>
        <w:t xml:space="preserve">dataset_name : str : Hugging Face dataset id.</w:t>
      </w:r>
    </w:p>
    <w:p>
      <w:pPr>
        <w:pStyle w:val="ListParagraph"/>
        <w:numPr>
          <w:ilvl w:val="0"/>
          <w:numId w:val="2"/>
        </w:numPr>
        <w:spacing w:after="80" w:line="280"/>
      </w:pPr>
      <w:r>
        <w:rPr>
          <w:rFonts w:ascii="Times New Roman" w:cs="Times New Roman" w:eastAsia="Times New Roman" w:hAnsi="Times New Roman"/>
          <w:sz w:val="22"/>
          <w:szCs w:val="22"/>
        </w:rPr>
        <w:t xml:space="preserve">split : str : dataset split.</w:t>
      </w:r>
    </w:p>
    <w:p>
      <w:pPr>
        <w:pStyle w:val="ListParagraph"/>
        <w:numPr>
          <w:ilvl w:val="0"/>
          <w:numId w:val="2"/>
        </w:numPr>
        <w:spacing w:after="80" w:line="280"/>
      </w:pPr>
      <w:r>
        <w:rPr>
          <w:rFonts w:ascii="Times New Roman" w:cs="Times New Roman" w:eastAsia="Times New Roman" w:hAnsi="Times New Roman"/>
          <w:sz w:val="22"/>
          <w:szCs w:val="22"/>
        </w:rPr>
        <w:t xml:space="preserve">max_samples : int : sample cap.</w:t>
      </w:r>
    </w:p>
    <w:p>
      <w:pPr>
        <w:pStyle w:val="ListParagraph"/>
        <w:numPr>
          <w:ilvl w:val="0"/>
          <w:numId w:val="2"/>
        </w:numPr>
        <w:spacing w:after="80" w:line="280"/>
      </w:pPr>
      <w:r>
        <w:rPr>
          <w:rFonts w:ascii="Times New Roman" w:cs="Times New Roman" w:eastAsia="Times New Roman" w:hAnsi="Times New Roman"/>
          <w:sz w:val="22"/>
          <w:szCs w:val="22"/>
        </w:rPr>
        <w:t xml:space="preserve">batch_size : int : generation batch size.</w:t>
      </w:r>
    </w:p>
    <w:p>
      <w:pPr>
        <w:pStyle w:val="ListParagraph"/>
        <w:numPr>
          <w:ilvl w:val="0"/>
          <w:numId w:val="2"/>
        </w:numPr>
        <w:spacing w:after="80" w:line="280"/>
      </w:pPr>
      <w:r>
        <w:rPr>
          <w:rFonts w:ascii="Times New Roman" w:cs="Times New Roman" w:eastAsia="Times New Roman" w:hAnsi="Times New Roman"/>
          <w:sz w:val="22"/>
          <w:szCs w:val="22"/>
        </w:rPr>
        <w:t xml:space="preserve">benign_only : bool (XSTest only).</w:t>
      </w:r>
    </w:p>
    <w:p>
      <w:pPr>
        <w:pStyle w:val="ListParagraph"/>
        <w:numPr>
          <w:ilvl w:val="0"/>
          <w:numId w:val="2"/>
        </w:numPr>
        <w:spacing w:after="80" w:line="280"/>
      </w:pPr>
      <w:r>
        <w:rPr>
          <w:rFonts w:ascii="Times New Roman" w:cs="Times New Roman" w:eastAsia="Times New Roman" w:hAnsi="Times New Roman"/>
          <w:sz w:val="22"/>
          <w:szCs w:val="22"/>
        </w:rPr>
        <w:t xml:space="preserve">subjects : list[str] (MMLU only).</w:t>
      </w:r>
    </w:p>
    <w:p>
      <w:pPr>
        <w:pStyle w:val="Heading3"/>
        <w:spacing w:after="120" w:before="220"/>
      </w:pPr>
      <w:r>
        <w:rPr>
          <w:rFonts w:ascii="Times New Roman" w:cs="Times New Roman" w:eastAsia="Times New Roman" w:hAnsi="Times New Roman"/>
          <w:b/>
          <w:bCs/>
          <w:sz w:val="24"/>
          <w:szCs w:val="24"/>
        </w:rPr>
        <w:t xml:space="preserve">SlurmConfig</w:t>
      </w:r>
    </w:p>
    <w:p>
      <w:pPr>
        <w:pStyle w:val="ListParagraph"/>
        <w:numPr>
          <w:ilvl w:val="0"/>
          <w:numId w:val="2"/>
        </w:numPr>
        <w:spacing w:after="80" w:line="280"/>
      </w:pPr>
      <w:r>
        <w:rPr>
          <w:rFonts w:ascii="Times New Roman" w:cs="Times New Roman" w:eastAsia="Times New Roman" w:hAnsi="Times New Roman"/>
          <w:sz w:val="22"/>
          <w:szCs w:val="22"/>
        </w:rPr>
        <w:t xml:space="preserve">partition, qos, account, gpus, cpus_per_task, mem, time, log_dir, work_dir, setup_commands.</w:t>
      </w:r>
    </w:p>
    <w:p>
      <w:pPr>
        <w:pStyle w:val="Heading3"/>
        <w:spacing w:after="120" w:before="220"/>
      </w:pPr>
      <w:r>
        <w:rPr>
          <w:rFonts w:ascii="Times New Roman" w:cs="Times New Roman" w:eastAsia="Times New Roman" w:hAnsi="Times New Roman"/>
          <w:b/>
          <w:bCs/>
          <w:sz w:val="24"/>
          <w:szCs w:val="24"/>
        </w:rPr>
        <w:t xml:space="preserve">Validators</w:t>
      </w:r>
    </w:p>
    <w:p>
      <w:pPr>
        <w:pStyle w:val="ListParagraph"/>
        <w:numPr>
          <w:ilvl w:val="0"/>
          <w:numId w:val="2"/>
        </w:numPr>
        <w:spacing w:after="80" w:line="280"/>
      </w:pPr>
      <w:r>
        <w:rPr>
          <w:rFonts w:ascii="Times New Roman" w:cs="Times New Roman" w:eastAsia="Times New Roman" w:hAnsi="Times New Roman"/>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Times New Roman" w:cs="Times New Roman" w:eastAsia="Times New Roman" w:hAnsi="Times New Roman"/>
          <w:sz w:val="22"/>
          <w:szCs w:val="22"/>
        </w:rPr>
        <w:t xml:space="preserve">Every benchmark referenced in a model's benchmarks list must exist as a top-level benchmark.</w:t>
      </w:r>
    </w:p>
    <w:p>
      <w:pPr>
        <w:pStyle w:val="ListParagraph"/>
        <w:numPr>
          <w:ilvl w:val="0"/>
          <w:numId w:val="2"/>
        </w:numPr>
        <w:spacing w:after="80" w:line="280"/>
      </w:pPr>
      <w:r>
        <w:rPr>
          <w:rFonts w:ascii="Times New Roman" w:cs="Times New Roman" w:eastAsia="Times New Roman" w:hAnsi="Times New Roman"/>
          <w:sz w:val="22"/>
          <w:szCs w:val="22"/>
        </w:rPr>
        <w:t xml:space="preserve">dtype must be one of the supported aliases.</w:t>
      </w:r>
    </w:p>
    <w:p>
      <w:pPr>
        <w:pStyle w:val="ListParagraph"/>
        <w:numPr>
          <w:ilvl w:val="0"/>
          <w:numId w:val="2"/>
        </w:numPr>
        <w:spacing w:after="80" w:line="280"/>
      </w:pPr>
      <w:r>
        <w:rPr>
          <w:rFonts w:ascii="Times New Roman" w:cs="Times New Roman" w:eastAsia="Times New Roman" w:hAnsi="Times New Roman"/>
          <w:sz w:val="22"/>
          <w:szCs w:val="22"/>
        </w:rPr>
        <w:t xml:space="preserve">Numeric ranges enforced on decoding parameters.</w:t>
      </w:r>
    </w:p>
    <w:p>
      <w:pPr>
        <w:pStyle w:val="Heading1"/>
        <w:pageBreakBefore/>
        <w:spacing w:after="200" w:before="360"/>
      </w:pPr>
      <w:r>
        <w:rPr>
          <w:rFonts w:ascii="Times New Roman" w:cs="Times New Roman" w:eastAsia="Times New Roman" w:hAnsi="Times New Roman"/>
          <w:b/>
          <w:bCs/>
          <w:sz w:val="32"/>
          <w:szCs w:val="32"/>
        </w:rPr>
        <w:t xml:space="preserve">Appendix D: Test Inventory</w:t>
      </w:r>
    </w:p>
    <w:p>
      <w:pPr>
        <w:spacing w:after="160" w:line="360"/>
        <w:jc w:val="both"/>
      </w:pPr>
      <w:r>
        <w:rPr>
          <w:rFonts w:ascii="Times New Roman" w:cs="Times New Roman" w:eastAsia="Times New Roman" w:hAnsi="Times New Roman"/>
          <w:sz w:val="22"/>
          <w:szCs w:val="22"/>
        </w:rPr>
        <w:t xml:space="preserve">The verification suite comprises 382 automated tests across twenty-nine test files. The distribution is summarised in Table D.1; the test files are located under tests/ in the repository.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Multi-seed sensitivity config + aggregator (summarise_deltas) and sbatch generator, plus the v2-proxy reader preferring summary.v2.json over the v1 runtime summary.json (with fallback), and the per-pair alias-ordering guard (aliases match PAIRS[pid] = (base, 4bit)).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Refusal-margin mechanism metric (D33/§6.14): log-prob margin sign and shift-invariance, decision entropy, top1–top2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Claim lock (D43): runs scripts/verify_report_claims.py — every load-bearing number in the canonical report AND thesis builders is asserted against the committed analysis artifacts (55+ checks; the gate prints its exact count on every run);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test_xstest_judge.py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3-class refusal-judge sensitivity layer (T35/D45): label-parser variants and misparse resistance, the byte-pinned rubric regression, the API backend label mapping and prompt/response slot routing (faked client), and sidecar redaction.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test_xstest_human_audit.py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human-label gold-set tool (T36/D46): deterministic stratified draw, disagreement-fraction and exclusions, double-weighted priority pairs, Cohen's kappa (incl. degenerate), precision/recall/F1 and confusion counts, outcome-letter read-off, and the frozen-rubric guard (HTML and source scanned for retired wording).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test_parser_strict.py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Strict MMLU/ARC parser and rescore (T38): strict tier behaviour, the strict regexes as a literal restriction of the primary cascade, num-choices inference, raw-immutability + redacted sidecar emission, and dry-run-writes-nothing.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382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Twenty-nine files; all passing on the current commit.</w:t>
            </w:r>
          </w:p>
        </w:tc>
      </w:tr>
    </w:tbl>
    <w:p>
      <w:pPr>
        <w:spacing w:after="120" w:line="360"/>
      </w:pPr>
      <w:r>
        <w:rPr>
          <w:rFonts w:ascii="Times New Roman" w:cs="Times New Roman" w:eastAsia="Times New Roman" w:hAnsi="Times New Roman"/>
          <w:sz w:val="18"/>
          <w:szCs w:val="18"/>
        </w:rPr>
        <w:t xml:space="preserve">Table D.1  Distribution of automated tests across modules.</w:t>
      </w:r>
    </w:p>
    <w:p>
      <w:pPr>
        <w:pStyle w:val="Heading1"/>
        <w:pageBreakBefore/>
        <w:spacing w:after="200" w:before="360"/>
      </w:pPr>
      <w:r>
        <w:rPr>
          <w:rFonts w:ascii="Times New Roman" w:cs="Times New Roman" w:eastAsia="Times New Roman" w:hAnsi="Times New Roman"/>
          <w:b/>
          <w:bCs/>
          <w:sz w:val="32"/>
          <w:szCs w:val="32"/>
        </w:rPr>
        <w:t xml:space="preserve">Appendix E: Repository Layout</w:t>
      </w:r>
    </w:p>
    <w:p>
      <w:pPr>
        <w:spacing w:after="160" w:line="360"/>
        <w:jc w:val="both"/>
      </w:pPr>
      <w:r>
        <w:rPr>
          <w:rFonts w:ascii="Times New Roman" w:cs="Times New Roman" w:eastAsia="Times New Roman" w:hAnsi="Times New Roman"/>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tc1_512.yaml          (primary 512-token fp16/NF4 study)</w:t>
      </w:r>
    </w:p>
    <w:p>
      <w:pPr>
        <w:shd w:fill="F2F2F2" w:color="auto" w:val="clear"/>
        <w:spacing w:after="0" w:line="240"/>
      </w:pPr>
      <w:r>
        <w:rPr>
          <w:rFonts w:ascii="Consolas" w:cs="Consolas" w:eastAsia="Consolas" w:hAnsi="Consolas"/>
          <w:sz w:val="18"/>
          <w:szCs w:val="18"/>
        </w:rPr>
        <w:t xml:space="preserve">│   ├── tc1_int8_512.yaml     (INT8 precision point, primary 512-token)</w:t>
      </w:r>
    </w:p>
    <w:p>
      <w:pPr>
        <w:shd w:fill="F2F2F2" w:color="auto" w:val="clear"/>
        <w:spacing w:after="0" w:line="240"/>
      </w:pPr>
      <w:r>
        <w:rPr>
          <w:rFonts w:ascii="Consolas" w:cs="Consolas" w:eastAsia="Consolas" w:hAnsi="Consolas"/>
          <w:sz w:val="18"/>
          <w:szCs w:val="18"/>
        </w:rPr>
        <w:t xml:space="preserve">│   ├── tc1.yaml              (retained 128-token comparison)</w:t>
      </w:r>
    </w:p>
    <w:p>
      <w:pPr>
        <w:shd w:fill="F2F2F2" w:color="auto" w:val="clear"/>
        <w:spacing w:after="0" w:line="240"/>
      </w:pPr>
      <w:r>
        <w:rPr>
          <w:rFonts w:ascii="Consolas" w:cs="Consolas" w:eastAsia="Consolas" w:hAnsi="Consolas"/>
          <w:sz w:val="18"/>
          <w:szCs w:val="18"/>
        </w:rPr>
        <w:t xml:space="preserve">│   └── tc1_int8.yaml         (retained 128-token INT8 comparison)</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arc.py,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(382 tests across 29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results_512/              (primary 512-token results and analysis)</w:t>
      </w:r>
    </w:p>
    <w:p>
      <w:pPr>
        <w:shd w:fill="F2F2F2" w:color="auto" w:val="clear"/>
        <w:spacing w:after="0" w:line="240"/>
      </w:pPr>
      <w:r>
        <w:rPr>
          <w:rFonts w:ascii="Consolas" w:cs="Consolas" w:eastAsia="Consolas" w:hAnsi="Consolas"/>
          <w:sz w:val="18"/>
          <w:szCs w:val="18"/>
        </w:rPr>
        <w:t xml:space="preserve">├── results/                  (retained 128-token comparison)</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Times New Roman" w:cs="Times New Roman" w:eastAsia="Times New Roman" w:hAnsi="Times New Roman"/>
          <w:b/>
          <w:bCs/>
          <w:sz w:val="32"/>
          <w:szCs w:val="32"/>
        </w:rPr>
        <w:t xml:space="preserve">Appendix F: Glossary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Benchmark for measuring over-refusal on benign-but-suspicious prompts.</w:t>
            </w:r>
          </w:p>
        </w:tc>
      </w:tr>
    </w:tbl>
    <w:p>
      <w:pPr>
        <w:pStyle w:val="Heading1"/>
        <w:pageBreakBefore/>
        <w:spacing w:after="200" w:before="360"/>
      </w:pPr>
      <w:r>
        <w:rPr>
          <w:rFonts w:ascii="Times New Roman" w:cs="Times New Roman" w:eastAsia="Times New Roman" w:hAnsi="Times New Roman"/>
          <w:b/>
          <w:bCs/>
          <w:sz w:val="32"/>
          <w:szCs w:val="32"/>
        </w:rPr>
        <w:t xml:space="preserve">Appendix G: Document Revision History</w:t>
      </w:r>
    </w:p>
    <w:p>
      <w:pPr>
        <w:spacing w:after="160" w:line="360"/>
        <w:jc w:val="both"/>
      </w:pPr>
      <w:r>
        <w:rPr>
          <w:rFonts w:ascii="Times New Roman" w:cs="Times New Roman" w:eastAsia="Times New Roman" w:hAnsi="Times New Roman"/>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2026-07-14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Submission-safety patch (verified external-audit remediation, pulled ahead of the deferred T36/T37/T39 evidence fold-in). Corrected a factual error: ARC-Challenge was described as "immune to / not subject to" the 4-bit answer-format asymmetry (§6.5, §6.4.1, §6.2, Ch8), but the committed strict-parser sensitivity (results_512/analysis/parser_strict_sensitivity.json) shows the smallest pair's 4-bit ARC answers fall to the lenient fallback even more than its MMLU (52.3% vs 48.7%; 2.5%/3.3% at fp16), so ARC's near-zero primary delta (−0.009) is the lenient parser salvaging format-broken answers, not immunity — under a strict parser ARC −0.343 and MMLU −0.293 fall comparably. Capability loss reframed as a lenient/strict bracket (direction parser-robust, magnitude parser-dependent); answer-format parsing added as a third measurement-dependence axis alongside the harm and over-refusal scorers. Statistical/interpretation register tightened per the audit: κ human-validation stated as conservative rather than a proven lower bound and as a disagreement-enriched, non-population estimate (§6.12); causal language scoped to "isolates quantization against model-provenance confounds" rather than "only variable / no plausible alternative explanation" (Abstract, §3, Ch7); scale/novelty claims narrowed ("almost always"→typically; "single largest predictor"→largest observed within-family contrast). T37 (LlamaGuard) and T39 (Mistral/Phi multi-seed) reworded from future-work to executed-with-verification-pending (no numbers folded in yet). Numeric fixes: Qwen3-1.7B XSTest has 10 discordant prompts, not 11 (b=2,c=8; p=0.109 unchanged); Llama baseline over-refusal 0.032 (v2 scorer of record, not the retired 0.036); test inventory 382 across 29 files (was 339/26), Appendix D refreshed; "classifier- and human-anchored" corrected to exact-match for the capability survivors. List of Tables now lists Tables 6.2–6.4. No committed or primary result number changed; the only added numbers are the committed strict-parser sensitivity figures.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2026-07-12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2026-07-14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T35 XSTest independent-refusal-judge sensitivity layer (decision D45). Added §6.12 Result 6 and Table 6.4: the 3,750 saved benign XSTest responses were re-scored by an independent three-class refusal judge (gpt-4o, pinned snapshot gpt-4o-2024-08-06, zero parse failures) using the XSTest paper's own taxonomy. Outcome C (does not replicate / scorer-dependent): the one FDR-surviving over-refusal contrast (Phi-4-mini −0.048, regex) is not reproduced by the judge (ΔOR +0.016 strict / −0.004 broad, both non-significant), and the two scorers agree only poorly-to-moderately on benign over-refusal (κ ≤ 0.50). A scorer-dependence caveat was folded into §6.5, §6.5.1, and the Abstract's over-refusal-survivor mention. The deterministic regex remains the primary over-refusal scorer of record and the §6.5.1 BH-FDR family is unchanged; this is a sensitivity layer, mirroring the second HarmBench judge. No primary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2026-07-12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 package-version /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condensed yes/no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60"/>
      </w:pPr>
      <w:r>
        <w:rPr>
          <w:rFonts w:ascii="Times New Roman" w:cs="Times New Roman" w:eastAsia="Times New Roman" w:hAnsi="Times New Roman"/>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Times New Roman" w:cs="Times New Roman" w:eastAsia="Times New Roman" w:hAnsi="Times New Roman"/>
          <w:b/>
          <w:bCs/>
          <w:sz w:val="32"/>
          <w:szCs w:val="32"/>
        </w:rPr>
        <w:t xml:space="preserve">Appendix H: Scoring-Methodology Correction Record</w:t>
      </w:r>
    </w:p>
    <w:p>
      <w:pPr>
        <w:spacing w:after="160" w:line="360"/>
        <w:jc w:val="both"/>
      </w:pPr>
      <w:r>
        <w:rPr>
          <w:rFonts w:ascii="Times New Roman" w:cs="Times New Roman" w:eastAsia="Times New Roman" w:hAnsi="Times New Roman"/>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Times New Roman" w:cs="Times New Roman" w:eastAsia="Times New Roman" w:hAnsi="Times New Roman"/>
          <w:b/>
          <w:bCs/>
          <w:sz w:val="26"/>
          <w:szCs w:val="26"/>
        </w:rPr>
        <w:t xml:space="preserve">H.1 What went wrong in v1</w:t>
      </w:r>
    </w:p>
    <w:p>
      <w:pPr>
        <w:spacing w:after="160" w:line="360"/>
        <w:jc w:val="both"/>
      </w:pPr>
      <w:r>
        <w:rPr>
          <w:rFonts w:ascii="Times New Roman" w:cs="Times New Roman" w:eastAsia="Times New Roman" w:hAnsi="Times New Roman"/>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60"/>
        <w:jc w:val="both"/>
      </w:pPr>
      <w:r>
        <w:rPr>
          <w:rFonts w:ascii="Times New Roman" w:cs="Times New Roman" w:eastAsia="Times New Roman" w:hAnsi="Times New Roman"/>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Times New Roman" w:cs="Times New Roman" w:eastAsia="Times New Roman" w:hAnsi="Times New Roman"/>
          <w:b/>
          <w:bCs/>
          <w:sz w:val="26"/>
          <w:szCs w:val="26"/>
        </w:rPr>
        <w:t xml:space="preserve">H.2 How the correction was made</w:t>
      </w:r>
    </w:p>
    <w:p>
      <w:pPr>
        <w:spacing w:after="160" w:line="360"/>
        <w:jc w:val="both"/>
      </w:pPr>
      <w:r>
        <w:rPr>
          <w:rFonts w:ascii="Times New Roman" w:cs="Times New Roman" w:eastAsia="Times New Roman" w:hAnsi="Times New Roman"/>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60"/>
        <w:jc w:val="both"/>
      </w:pPr>
      <w:r>
        <w:rPr>
          <w:rFonts w:ascii="Times New Roman" w:cs="Times New Roman" w:eastAsia="Times New Roman" w:hAnsi="Times New Roman"/>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Times New Roman" w:cs="Times New Roman" w:eastAsia="Times New Roman" w:hAnsi="Times New Roman"/>
          <w:b/>
          <w:bCs/>
          <w:sz w:val="26"/>
          <w:szCs w:val="26"/>
        </w:rPr>
        <w:t xml:space="preserve">H.3 Current artifact contract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The authoritative HarmBench ASR source. judge_agreement.{json,csv} compares it to the v2 proxy.</w:t>
            </w:r>
          </w:p>
        </w:tc>
      </w:tr>
    </w:tbl>
    <w:p>
      <w:pPr>
        <w:pStyle w:val="Heading2"/>
        <w:spacing w:after="140" w:before="280"/>
      </w:pPr>
      <w:r>
        <w:rPr>
          <w:rFonts w:ascii="Times New Roman" w:cs="Times New Roman" w:eastAsia="Times New Roman" w:hAnsi="Times New Roman"/>
          <w:b/>
          <w:bCs/>
          <w:sz w:val="26"/>
          <w:szCs w:val="26"/>
        </w:rPr>
        <w:t xml:space="preserve">H.4 Verification completed</w:t>
      </w:r>
    </w:p>
    <w:p>
      <w:pPr>
        <w:spacing w:after="160" w:line="360"/>
        <w:jc w:val="both"/>
      </w:pPr>
      <w:r>
        <w:rPr>
          <w:rFonts w:ascii="Times New Roman" w:cs="Times New Roman" w:eastAsia="Times New Roman" w:hAnsi="Times New Roman"/>
          <w:sz w:val="22"/>
          <w:szCs w:val="22"/>
        </w:rPr>
        <w:t xml:space="preserve">The workflow was verified in five ways. First, the full test suite passes with 382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Times New Roman" w:cs="Times New Roman" w:eastAsia="Times New Roman" w:hAnsi="Times New Roman"/>
          <w:b/>
          <w:bCs/>
          <w:sz w:val="26"/>
          <w:szCs w:val="26"/>
        </w:rPr>
        <w:t xml:space="preserve">H.5 Remaining construct-validity extension</w:t>
      </w:r>
    </w:p>
    <w:p>
      <w:pPr>
        <w:spacing w:after="160" w:line="360"/>
        <w:jc w:val="both"/>
      </w:pPr>
      <w:r>
        <w:rPr>
          <w:rFonts w:ascii="Times New Roman" w:cs="Times New Roman" w:eastAsia="Times New Roman" w:hAnsi="Times New Roman"/>
          <w:sz w:val="22"/>
          <w:szCs w:val="22"/>
        </w:rPr>
        <w:t xml:space="preserve">The classifier has since been cross-checked twice: by an independent frontier-model second judge (gpt-4o, §6.12 Result 4) and against human labels on a stratified subset (§6.12 Result 5). One optional extension is still carried in Chapter 9: an open-weight guard model (LlamaGuard) whose cross-check would be fully reproducible, unlike the versioned API judge. That guard has since been run, with verification and fold-in pending, so this revision carries the two-judge and human-grounded validation only. The framework already supports it through the pluggable judge backend in `ethical_benchmark/judges/validation.py` and the agreement analysis in `scripts/judge_agreement.py`; the primary scorer is unaffected either way.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Times New Roman" w:cs="Times New Roman" w:eastAsia="Times New Roman" w:hAnsi="Times New Roman"/>
        <w:i/>
        <w:iCs/>
        <w:color w:val="666666"/>
        <w:sz w:val="18"/>
        <w:szCs w:val="18"/>
      </w:rPr>
      <w:t xml:space="preserve">CCDS25-1136 — TAN UEI HORNG (UTAN001)</w:t>
    </w:r>
    <w:r>
      <w:t xml:space="preserve">	</w:t>
    </w:r>
    <w:r>
      <w:rPr>
        <w:rFonts w:ascii="Times New Roman" w:cs="Times New Roman" w:eastAsia="Times New Roman" w:hAnsi="Times New Roman"/>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20" w:before="22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2026-07-15T14:57:53.200Z</dcterms:created>
  <dcterms:modified xsi:type="dcterms:W3CDTF">2026-07-15T14:57:53.201Z</dcterms:modified>
</cp:coreProperties>
</file>

<file path=docProps/custom.xml><?xml version="1.0" encoding="utf-8"?>
<Properties xmlns="http://schemas.openxmlformats.org/officeDocument/2006/custom-properties" xmlns:vt="http://schemas.openxmlformats.org/officeDocument/2006/docPropsVTypes"/>
</file>