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 · content revised through 22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0.04 to 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significant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for a representative pair (the per-pair values span 0.04 to 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a mechanical Outcome J carried with one disclosed protocol deviation, pre-registration §8)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 results_512/analysis/xstest_human_validation_items.jsonl, IDs and labels only).</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 to 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 to 0.09 across pairs),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[22], revision-pinned) across all fifteen aliases (Cohen's κ 0.36 to 0.92 against the classifier over the ten base/NF4 aliases, every per-pair ΔASR non-significant; a reproducibility cross-check of a looser "is this response unsafe?" construct, not a second construct-validity oracle),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2026-07-21T18:01:14.064Z</dcterms:created>
  <dcterms:modified xsi:type="dcterms:W3CDTF">2026-07-21T18:01:14.065Z</dcterms:modified>
</cp:coreProperties>
</file>

<file path=docProps/custom.xml><?xml version="1.0" encoding="utf-8"?>
<Properties xmlns="http://schemas.openxmlformats.org/officeDocument/2006/custom-properties" xmlns:vt="http://schemas.openxmlformats.org/officeDocument/2006/docPropsVTypes"/>
</file>