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most plausibly a measurement artifact of the regex scorer: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is consistent with the same capability-driven reading, and a power analysis bounds how large any undetected safety effect could be (minimum detectable ΔASR ≈ 0.04–0.09 per pair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 single 200-behaviour split that does not preserve the official benchmark's validation/test partition, so results are reported over this pooled set rather than the official test partition alone),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subsequent pre-registered human audit (a blinded, 200-item, disagreement-enriched single-annotator gold set) finds the judge substantially better aligned with the annotator than the regex on this construct (a mechanical Outcome J carried with one disclosed protocol deviation, pre-registration §8). That contrast is therefore carried as most plausibly a regex measurement artifact; the regex is retained as the original pre-specified scorer-of-record for traceability, and a second annotator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 Both the bootstrap and the paired tests treat each benchmark's prompt set as an exchangeable sample of its construct; HarmBench, XSTest, and ARC are fixed curated sets (only the MMLU subset is a seeded random draw), and items cluster by category or subject, so the effective information content is at most the nominal n — any within-cluster correlation would work against the reported nulls, not for them.</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torch.no_grad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[23]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spelled out in §6.6.1: their greedy points sit just outside narrow seed ranges that straddle zero).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FDR-surviving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It is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(no contrast becomes significant that was not already),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being the largest, McNemar p = 0.087, but none reaches significance under either scorer). Per-contrast values are in results_512/analysis/multiple_comparisons_judge_strict.json.</w:t>
      </w:r>
    </w:p>
    <w:p>
      <w:pPr>
        <w:spacing w:after="160" w:line="300"/>
        <w:jc w:val="both"/>
      </w:pPr>
      <w:r>
        <w:rPr>
          <w:rFonts w:ascii="Calibri" w:cs="Calibri" w:eastAsia="Calibri" w:hAnsi="Calibri"/>
          <w:sz w:val="22"/>
          <w:szCs w:val="22"/>
        </w:rPr>
        <w:t xml:space="preserve">A power analysis — Connor's normal-approximation sample-size treatment of the paired McNemar design [25] —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(One sidedness note: every test in the study is two-sided; under one-sided versions of the directional no-increase null, the two borderline positive contrasts — Qwen-4B ASR, one-sided p ≈ 0.048, and the judge-strict Qwen-1.7B over-refusal, ≈ 0.044 — would cross α = 0.05 individually while remaining far from BH survival, so the corrected headline is sidedness-invariant.)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so all five pairs are now covered: Mistral-7B has seed mean +0.012 (range [−0.005, +0.045], 0 of 5 seeds significant) and Phi-4-mini seed mean −0.012 (range [−0.055, +0.015], 1 of 5 seeds individually significant,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Mistral's just below its seed minimum and Phi's just above its seed maximum, each with the opposite sign to its seed mean. Both ranges straddle zero, the greedy-versus-stochastic gaps are small (at most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a decrease, and one of five, so it does not lift the pair-level reading. The claim carried for these pairs is 'no detectable pair-level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at nominal, uncorrected significance (ΔARC = −0.016; it does not survive the BH-FDR correction, §6.5.1),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 parser-sensitive, benchmark-dependent result under the primary lenient parser — under the strict parser the scale gap replicates on ARC as well (−0.343 versus −0.017, §6.4.1) — rather than a clean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Phi's over-refusal decrease, is most plausibly a regex measurement artifact: it is human-audited in §6.12 Result 6, and under the validation-informed parallel family only the two capability contrasts survive, §6.5.1),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(verbal agreement descriptors follow the Landis and Koch benchmarks [26]);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fair-to-moderate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run 2026-06-14 via the OpenAI API; the alias's underlying dated snapshot was not recorded, so the revision-pinned open-weight LlamaGuard cross-check below is the reproducible arm of this validation)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(slight).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[27], [28].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One implementation detail bounds comparability rather than validity: the classifier is prompted with the Hugging Face model-card (behaviour-only) template rather than the HarmBench GitHub evaluation-harness variant (which adds bracketed section headers and three additional scoring rules), so absolute ASR levels here are not directly comparable to harness-scored numbers in the literature; the matched-pair deltas, scored identically for both members of every pair, are unaffected.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[29])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most visibly the low Phi κ,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and the human audit below resolves which scorer to weight: the contrast is most plausibly a measurement artifact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00"/>
        <w:jc w:val="both"/>
      </w:pPr>
      <w:r>
        <w:rPr>
          <w:rFonts w:ascii="Calibri" w:cs="Calibri" w:eastAsia="Calibri" w:hAnsi="Calibri"/>
          <w:sz w:val="22"/>
          <w:szCs w:val="22"/>
        </w:rPr>
        <w:t xml:space="preserve">The human grounding for this axis has since been completed, mirroring Result 5. All 200 items of a pre-registered gold set, drawn from the same 3,750 saved responses, deliberately over-sampling the regex-versus-judge disagreements (120 of 200) and double-weighting the contested Phi and divergent Qwen-1.7B pairs, presentation-shuffled and label-blind,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at strict-mapping Cohen's κ 0.485 versus −0.006 and broad-mapping 0.662 versus 0.054,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First, these labels are a blinded single-annotator reference set, not ground truth: a single annotator can misread and drift, and no inter-rater κ exists for this set. Second,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Third, the pre-registered no-swap rule (D45) was locked before the judge results existed but after the regex results were known,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(it is most plausibly a measurement artifact of the regex scorer),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alongside a redacted per-item audit trail results_512/analysis/xstest_human_validation_items.jsonl (IDs and labels only, no text) for independent reproduction; a second annotator with an inter-rater κ remains the residual strengthening, exactly as for Result 5.</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substantial-to-almost-perfect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signed-rank [30] p &lt; 0.001, n = 200) but moves comply-ward for Qwen (Δm = +1.2 for 1.7B, +4.0 for 4B) and refuse-ward for Llama and Phi (−1.1, −0.3), with effect sizes spanning Cohen dz [31] ≈ −0.74 to +1.7;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(exact McNemar tests recomputed from the paired per-item records: ten contrasts, none significant, largest |Δ| 1.3 pp), so within the study's resolution INT8 is capability-lossless. Every significant capability loss appears only at the four-bit step: ΔMMLU(NF4) = −0.090 (Qwen-1.7B); ΔARC(NF4) = −0.016 (Qwen-4B) and −0.032 (Llama-3B). Eight-bit is therefore effectively a free precision point on capability at this resolution (non-significance bounds, not proves, a zero effect),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its effect is matched across the pair by construction;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now covers all five pairs (§6.6.1).</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six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 Sixth, both Qwen3 pairs are evaluated in non-thinking mode (enable_thinking = false, a token-budget necessity at 512 tokens): this is not those models' default operating configuration, and quantization's interaction with thinking-mode generation — through which Qwen3 delivers much of its capability and some of its safety behaviour — is untested here.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and the pre-registered human refusal audit has since grounded that comparison: the judge aligns substantially better with a blinded single annotator than the regex (strict κ 0.485 versus −0.006, a mechanical Outcome J carried with one disclosed protocol deviation, pre-registration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small noise around zero rather than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its effect is matched across the pair by construction,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Benchmark contamination unassessed. Whether benchmark items appear in the evaluated models' pretraining data is not measured. Contamination would shift absolute scores, but it applies identically to both members of each pair (same weights, same data history), so the paired deltas — the study's unit of inference — are unaffected; only absolute levels carry this caveat.</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to the over-refusal and capability axes, would complete the within-condition variance estimate.</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[32])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and the human-labelled refusal gold set that grounds that comparison has since been completed too (200 items, blinded single annotator, a mechanical Outcome J carried with one disclosed protocol deviation, pre-registration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0.04 to 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Calibri" w:cs="Calibri" w:eastAsia="Calibri" w:hAnsi="Calibri"/>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Calibri" w:cs="Calibri" w:eastAsia="Calibri" w:hAnsi="Calibri"/>
          <w:sz w:val="22"/>
          <w:szCs w:val="22"/>
        </w:rPr>
        <w:t xml:space="preserve">R. J. Connor, “Sample size for testing differences in proportions for the paired-sample design,” Biometrics, vol. 43, no. 1, pp. 207–211, 1987.</w:t>
      </w:r>
    </w:p>
    <w:p>
      <w:pPr>
        <w:pStyle w:val="ListParagraph"/>
        <w:numPr>
          <w:ilvl w:val="0"/>
          <w:numId w:val="7"/>
        </w:numPr>
        <w:spacing w:after="80" w:line="280"/>
      </w:pPr>
      <w:r>
        <w:rPr>
          <w:rFonts w:ascii="Calibri" w:cs="Calibri" w:eastAsia="Calibri" w:hAnsi="Calibri"/>
          <w:sz w:val="22"/>
          <w:szCs w:val="22"/>
        </w:rPr>
        <w:t xml:space="preserve">J. R. Landis and G. G. Koch, "The measurement of observer agreement for categorical data," Biometrics, vol. 33, no. 1, pp. 159-174, 1977.</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Calibri" w:cs="Calibri" w:eastAsia="Calibri" w:hAnsi="Calibri"/>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T41 post-Phase-C audit remediation. §6.12 Result 6: the T36 gold-set result is restated from a clean "pre-registered Outcome J" to an Outcome-J-consistent validation carrying one disclosed protocol deviation (pre-registration §8):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and labels only) is now committed for independent reproduction. Also corrected: §6.6.1 and Chapter 7 now state the multi-seed arm covers all five pairs (a residual "three of the five" phrasing removed); the ≈0.06 minimum-detectable-effect figure is scoped as the representative or 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T36 human refusal gold set folded in (mechanical Outcome J; the protocol-deviation disclosure was added in the T41 pass above) plus a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a single-annotator reference set on a disagreement-enriched draw, not population ground truth; a shared benchmark taxonomy; and D45 timing that was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Submission-safety patch (verified external-audit remediation, pulled ahead of the deferred T36/T37/T39 evidence fold-in). Corrected a factual error: ARC-Challenge had been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ARC's near-zero primary delta (−0.009) is therefore the lenient parser salvaging format-broken answers, not immunity; under a strict parser ARC −0.343 and MMLU −0.293 fall comparably. Capability loss reframed as a lenient/strict bracket (direction parser-robust, magnitude parser-dependent), and answer-format parsing added as a third measurement-dependence axis alongside the harm and over-refusal scorers. The statistical and interpretation register was tightened per the audit: the κ human-validation is stated as conservative rather than a proven lower bound and as a disagreement-enriched, non-population estimate (§6.12); causal language is scoped to isolating quantization against model-provenance confounds; scale and novelty claims narrowed. T37 (LlamaGuard) and T39 (Mistral/Phi multi-seed) reworded from future work to executed with verification pending (no numbers folded in yet). Numeric fixes: Qwen3-1.7B XSTest has 10 discordant prompts, not 11 (b=2, c=8; p=0.109 unchanged); Llama baseline over-refusal 0.032 (the v2 scorer of record, not the retired 0.036); test inventory refreshed.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at or below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three times over: by an independent frontier-model second judge (gpt-4o, §6.12 Result 4), against human labels on a stratified subset (§6.12 Result 5), and by an open-weight guard model (Llama-Guard-3-8B, revision-pinned; §6.12), whose revision-pinned, locally rerunnable re-scoring, unlike the versioned API judge's,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2026-07-21T18:01:13.369Z</dcterms:created>
  <dcterms:modified xsi:type="dcterms:W3CDTF">2026-07-21T18:01:13.370Z</dcterms:modified>
</cp:coreProperties>
</file>

<file path=docProps/custom.xml><?xml version="1.0" encoding="utf-8"?>
<Properties xmlns="http://schemas.openxmlformats.org/officeDocument/2006/custom-properties" xmlns:vt="http://schemas.openxmlformats.org/officeDocument/2006/docPropsVTypes"/>
</file>