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is consistent with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 single 200-behaviour split that does not preserve the official benchmark's validation/test partition, so results are reported over this pooled set rather than the official test partition alone),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 Both the bootstrap and the paired tests treat each benchmark's prompt set as an exchangeable sample of its construct; HarmBench, XSTest, and ARC are fixed curated sets (only the MMLU subset is a seeded random draw), and items cluster by category or subject, so the effective information content is at most the nominal n — any within-cluster correlation would work against the reported nulls, not for them.</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torch.no_grad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[23]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FDR-surviving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 Connor's normal-approximation sample-size treatment of the paired McNemar design [25] —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(One sidedness note: every test in the study is two-sided; under one-sided versions of the directional no-increase null, the two borderline positive contrasts — Qwen-4B ASR, one-sided p ≈ 0.048, and the judge-strict Qwen-1.7B over-refusal, ≈ 0.044 — would cross α = 0.05 individually while remaining far from BH survival, so the corrected headline is sidedness-invariant.)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at nominal, uncorrected significance (ΔARC = −0.016; it does not survive the BH-FDR correction, §6.5.1),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 parser-sensitive, benchmark-dependent result under the primary lenient parser — under the strict parser the scale gap replicates on ARC as well (−0.343 versus −0.017, §6.4.1) — rather than a clean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[26]);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run 2026-06-14 via the OpenAI API; the alias's underlying dated snapshot was not recorded, so the revision-pinned open-weight LlamaGuard cross-check below is the reproducible arm of this validation)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[27], [28].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One implementation detail bounds comparability rather than validity: the classifier is prompted with the Hugging Face model-card (behaviour-only) template rather than the HarmBench GitHub evaluation-harness variant (which adds bracketed section headers and three additional scoring rules), so absolute ASR levels here are not directly comparable to harness-scored numbers in the literature; the matched-pair deltas, scored identically for both members of every pair, are unaffected.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[29])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signed-rank [30] p &lt; 0.001, n = 200) but moves comply-ward for Qwen (Δm = +1.2 for 1.7B, +4.0 for 4B) and refuse-ward for Llama and Phi (−1.1, −0.3), with effect sizes spanning Cohen dz [31] ≈ −0.74 to +1.7;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(exact McNemar tests recomputed from the paired per-item records: ten contrasts, none significant, largest |Δ| 1.3 pp), so within the study's resolution INT8 is capability-lossless. Every significant capability loss appears only at the four-bit step: ΔMMLU(NF4) = −0.090 (Qwen-1.7B); ΔARC(NF4) = −0.016 (Qwen-4B) and −0.032 (Llama-3B). Eight-bit is therefore effectively a free precision point on capability at this resolution (non-significance bounds, not proves, a zero effect),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its effect is matched across the pair by construction;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six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 Sixth, both Qwen3 pairs are evaluated in non-thinking mode (enable_thinking = false, a token-budget necessity at 512 tokens): this is not those models' default operating configuration, and quantization's interaction with thinking-mode generation — through which Qwen3 delivers much of its capability and some of its safety behaviour — is untested here.</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its effect is matched across the pair by construction,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Benchmark contamination unassessed. Whether benchmark items appear in the evaluated models' pretraining data is not measured. Contamination would shift absolute scores, but it applies identically to both members of each pair (same weights, same data history), so the paired deltas — the study's unit of inference — are unaffected; only absolute levels carry this caveat.</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[32])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Times New Roman" w:cs="Times New Roman" w:eastAsia="Times New Roman" w:hAnsi="Times New Roman"/>
          <w:sz w:val="22"/>
          <w:szCs w:val="22"/>
        </w:rPr>
        <w:t xml:space="preserve">R. J. Connor, “Sample size for testing differences in proportions for the paired-sample design,” Biometrics, vol. 43, no. 1, pp. 207–211, 1987.</w:t>
      </w:r>
    </w:p>
    <w:p>
      <w:pPr>
        <w:pStyle w:val="ListParagraph"/>
        <w:numPr>
          <w:ilvl w:val="0"/>
          <w:numId w:val="7"/>
        </w:numPr>
        <w:spacing w:after="80" w:line="280"/>
      </w:pPr>
      <w:r>
        <w:rPr>
          <w:rFonts w:ascii="Times New Roman" w:cs="Times New Roman" w:eastAsia="Times New Roman" w:hAnsi="Times New Roman"/>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2026-07-21T18:01:12.466Z</dcterms:created>
  <dcterms:modified xsi:type="dcterms:W3CDTF">2026-07-21T18:01:12.467Z</dcterms:modified>
</cp:coreProperties>
</file>

<file path=docProps/custom.xml><?xml version="1.0" encoding="utf-8"?>
<Properties xmlns="http://schemas.openxmlformats.org/officeDocument/2006/custom-properties" xmlns:vt="http://schemas.openxmlformats.org/officeDocument/2006/docPropsVTypes"/>
</file>