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That lone over-refusal survivor is most plausibly a measurement artifact of the regex scorer: an independent three-class refusal judge does not reproduce it, a blinded human audit finds that judge substantially better aligned with the annotator than the regex on this construct (§7.2), a validation-informed parallel correction that scores over-refusal by that judge leaves two survivors, both capability effects (§6.7), and no scorer finds a statistically significant over-refusal increase in any pair. Third, the three-precision sweep shows capability loss is a clean cliff at four-bit (INT8 is essentially free), and the one INT8-specific safety increase seen at 128 tokens likewise vanishes at the reference budget. The overall picture is a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own headline, Hong et al. [8] scrutinise trustworthiness across five compression methods and eight trust dimensions and report that four-bit quantization broadly preserves trustworthiness (unlike pruning, which erodes it, and unlike more extreme three-bit compression, where degradation appears); it is the nearest prior analogue to the null-safety-at-four-bit picture found here, though that study covers larger models under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 prompted with the Hugging Face model-card template rather than the GitHub evaluation-harness variant, so absolute ASR levels are not directly harness-comparable while matched-pair deltas are unaffected — run in full precision so that the reference instrument is not itself confounded by quantization. A second, architecturally independent judge (GPT-4o; run 2026-06-14 — the API alias’s dated snapshot was not recorded, so the revision-pinned open-weight LlamaGuard third judge is the reproducible arm) re-scores the same generations as a robustness check [11], [12]; it applies a condensed one-sentence yes/no rubric that encodes the same harmful-behaviour criterion as the HarmBench classifier, not that classifier’s full enumerated template.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as its primary scorer, cross-checked by an independent three-class refusal judge as a sensitivity layer (§7.2) (the HarmBench classifier judges harmful compliance only). XSTest’s own protocol scores over-refusal with LLM-based three-way labelling (full compliance / partial refusal / full refusal); this study instead retains a deterministic binary refusal regex as the primary scorer, a deliberate, reproducibility-motivated deviation that yields a coarser refusal / non-refusal construct, and adds that three-way judge back only as a sensitivity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[17] over the twenty-contrast primary family; a power analysis (Connor’s normal-approximation treatment of the paired McNemar design [18]) reports the minimum detectable effect (about 0.06 at n = 200 for the representative pair, with the five pairs spanning 0.044 to 0.086);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[19] between the regex and the classifier at the 512-token reference budget is fair-to-moderate for the Qwen and Mistral models and substantial or better for Llama and Phi (verbal bands per Landis and Koch [20])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and an independent refusal judge does not reproduce it (§7.2). A blinded human audit finds that judge substantially better aligned with the annotator than the regex, so that survivor is most plausibly a measurement artifact of the regex scorer rather than a validated over-refusal shift. Qwen3-1.7B shows a non-significant decrease (−0.024, McNemar p = 0.109). No pair becomes significantly more prone to over-refusal on benign prompts, under either scorer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here). The arm has since been extended to all five pairs. Qwen3-4B’s per-seed ΔASR mean is +0.029, range [+0.010, +0.050] (1 of 5 seeds individually significant; greedy +0.040 inside the range); Llama’s is −0.024, range [−0.040, −0.010] (2 of 5 seeds individually significant, both decreases; greedy −0.040 inside the range); Mistral’s is +0.012, range [−0.005, +0.045] (0 of 5); and Phi’s is −0.012, range [−0.055, +0.015] (1 of 5). For the two cross-family pairs the greedy estimate falls marginally outside the seed range with a sign flip (Mistral’s greedy −0.020 just below its seed range, Phi’s greedy +0.020 just above its own), small and sign-unstable gaps (each 0.04 or less) around seed means that are themselves near zero (Mistral +0.012, Phi −0.012), not a directional signal the greedy run missed. This is not read off a single detection floor: per-pair minimum detectable effects vary (0.044 to 0.086 at n = 200), and one Phi seed is itself individually significant at −0.055 (McNemar p = 0.043), a decrease, and one of five, so it does not lift the pair-level reading. No pair shows a sign-consistent majority of individually significant seeds, so the stochastic arm corroborates the null across all five pairs.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under that parser the dramatic within-Qwen scale gap looks partly MMLU-specific. That appearance is a parsing artefact rather than genuine MMLU-specificity. The option-letter parser falls back to a lenient "first in-range capital letter anywhere" scan whenever a response neither leads with the option letter nor states an explicit "answer is X". For qwen_2b_4bit that fallback fires on 48.7 percent of MMLU items and 52.3 percent of ARC items, against about 3 percent at fp16. It salvages the format-broken ARC answers more accurately (66 percent) than the MMLU ones (46 percent, well below the leading-letter rule’s 75 percent), and so masks the ARC loss. Part of the −0.090 MMLU gap therefore reflects a shift in answer format that the lenient parser scores less reliably, not only lost knowledge. Under a strict parser that scores an unparsable answer incorrect, ARC falls −0.343 and MMLU −0.293 — comparable large losses on both. The ARC drop above, scored by an identical protocol for both members, thus corroborates the direction of the loss, while its near-zero lenient magnitude reflects parser salvage rather than immunity. Each benchmark’s loss is honestly a bracket whose lenient end tracks answer-knowledge (largely preserved, since the salvaged answers are 66 percent correct) and whose strict end tracks format-compliant answering, which makes answer-format parsing a third measurement-dependence axis alongside the harm and over-refusal scorers. The capability anchor is what allows the safety deltas to be read correctly. The smallest Qwen pair is a capability story with a flat harm axis, and Llama’s harm decrease arrives together with its capability loss, which is more consistent with a capability side-effect than with a genuine alignment improvement. That is why it is labelled capability collapse masquerading as safety.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[21].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This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 paired per-item McNemar contrasts, none significant — far below the significant NF4 losses of three to nine points,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[18] makes the detection floor explicit: at n = 200 and the observed discordant rates, the minimum detectable ΔASR for 80 percent power is about 0.06 at the representative (median-discordant) pair, with the five pairs spanning 0.044 to 0.086.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The two capability survivors rest on deterministic exact-match scoring (MMLU and ARC parse an option letter; no refusal scorer is involved); the over-refusal survivor is itself regex-scored, so it inherits the same weaker-construct status as the demoted proxy. An independent three-class refusal judge does not reproduce it, and the completed human refusal audit (§7.2) finds that judge far better aligned with the annotator than the regex, so the survivor is most plausibly a measurement artifact of the regex scorer, not a classifier- or human-validated over-refusal shift. Not one HarmBench ASR contrast survives, including Llama’s individually significant decrease. The multiplicity-robust signal of four-bit NF4 is therefore capability degradation, plus one benign-direction over-refusal change that does not survive an independent scorer, and never a safety regression. This is the thesis’s headline empirical claim.</w:t>
      </w:r>
    </w:p>
    <w:p>
      <w:pPr>
        <w:spacing w:after="160" w:line="276"/>
        <w:jc w:val="both"/>
      </w:pPr>
      <w:r>
        <w:rPr>
          <w:rFonts w:ascii="Times New Roman" w:cs="Times New Roman" w:eastAsia="Times New Roman" w:hAnsi="Times New Roman"/>
          <w:sz w:val="24"/>
          <w:szCs w:val="24"/>
        </w:rPr>
        <w:t xml:space="preserve">Every over-refusal member of that family is regex-scored, and the §7.2 human audit later found that scorer poorly aligned with a blinded human annotator on exactly this construct. A validation-informed parallel correction is therefore reported alongside it, clearly labelled post-hoc (it was added after both scorers’ results were known), with its composition fixed in a dated pre-analysis note before it was computed (docs/VALIDATION_INFORMED_FAMILY_NOTE.md). The parallel family recomputes the identical twenty contrasts with one change only: the five over-refusal contrasts are scored by the independent three-class judge under the strict mapping, which is the replication definition the judge-validation protocol pre-registered. The other fifteen p-values are reused verbatim and the same Benjamini-Hochberg procedure runs at the same threshold. Under the original registered analysis, exactly three contrasts survive BH-FDR (Qwen3-1.7B MMLU (−0.090, q = 0.008), Llama-3.2-3B ARC (−0.032, q = 0.008), Phi-4-mini over-refusal (−0.048, q = 0.012)); under the validation-informed parallel analysis, identical except that over-refusal is scored by the independent judge under the strict mapping, two survive: Qwen3-1.7B MMLU (q = 0.008), Llama-3.2-3B ARC (q = 0.008), both capability effects. The third registered survivor (Phi-4-mini over-refusal, regex-scored) is retained only as the original scorer-of-record finding and is most plausibly a measurement artifact of that scorer. The parallel family is purely deflationary, since no contrast becomes significant that was not already, and the regex-scored family above remains the pre-specified family of record for traceability. The substantive RQ2 conclusion is carried in the scorer-invariant form: no scorer finds a statistically significant over-refusal increase in any pair. Point estimates do move upward in places (the judge-strict Qwen3-1.7B +0.040 is the largest, McNemar p = 0.087) but none reaches significance under either scorer. Per-contrast values are in results_512/analysis/multiple_comparisons_judge_strict.json.</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claims. At the reference budget NF4 does not significantly increase harmful compliance under direct requests in any pair (RQ1); over-refusal does not rise, no scorer finds a statistically significant over-refusal increase in any pair, and its only exact-test-significant change is a regex-scored decrease that the human-grounded judge marks as most plausibly a measurement artifact (RQ2); capability loss is real, modest, partly benchmark-specific, and the only class of effect that robustly survives multiplicity correction under either scoring of the family, the one over-refusal survivor being most plausibly a regex measurement artifact (RQ3); the smallest model is the most capability-sensitive but shows no genuine safety shift once truncation is controlled (RQ4); and the cross-family, cross-precision picture is a consistent power-bounded null on safety with a capability cliff at four-bit (RQ5). This sits squarely with the one prior study that, like this one, isolates quantization at four bits: Hong et al. [8], working across a broader trust taxonomy and larger models, likewise find that four-bit compression broadly retains trustworthiness, and the matched-pair, capability-anchored design here extends that picture to compact models with a classifier-validated harmful-compliance scorer.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κ 0.59 is moderate, not near-perfect, and rests on one annotator, so a second annotator with an inter-rater κ is the remaining strengthening. A third, open-weight judge (Llama-Guard-3-8B [22], revision-pinned) re-scored the 200 HarmBench generations of all fifteen aliases in the three-precision study with zero parse errors. Over the ten base/NF4 aliases of the primary study it agrees with the primary classifier at Cohen’s κ 0.36 to 0.92 per alias (highest for Llama, 0.89/0.92; lowest for Phi, 0.36/0.38); every per-pair Llama-Guard ΔASR is non-significant (the largest, Qwen3-1.7B’s −0.050 at McNemar p = 0.076, is a decrease); and the two scorers’ per-pair deltas agree in sign wherever the classifier delta is nonzero. This retires the reproducibility caveat that the cross-check rested solely on a versioned proprietary API snapshot. One construct boundary is stated plainly: Llama-Guard answers a looser question ("is this response unsafe?") than the classifier ("is this generation an instance of the specific harmful behaviour?"), so where it disagrees, as in the low Phi κ, the divergence is expected and non-diagnostic; it is a reproducibility cross-check, not a second construct-validity oracle. Over-refusal remains regex-scored, a known weaker construct, and the single over-refusal contrast that survives multiplicity correction (Phi-4-mini’s −0.048 decrease) inherits that same weaker-construct status. To test that survivor for scorer-robustness (the same question the classifier settled on the harmful-compliance axis), the 3,750 saved benign XSTest responses were re-scored by an independent three-class refusal judge (GPT-4o, pinned dated snapshot, temperature 0, zero parse failures) applying the XSTest paper’s own full-compliance / partial-refusal / full-refusal taxonomy [9], run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 to moderately on benign over-refusal (Cohen κ −0.01 to 0.50 across the ten base/NF4 aliases of the primary study, with the judge counting roughly four times as many refusals). The one multiplicity-robust over-refusal contrast is therefore scorer-dependent, and a completed pre-registered human audit now settles which scorer deserves the weight. All 200 items of a gold set drawn from the same saved responses, deliberately over-sampling the regex-versus-judge disagreements (120 of 200) and presented shuffled and label-blind, were labelled by a single human annotator (the author) under the same three-class XSTest taxonomy the judge applies. The read-off, locked in a pre-registered outcome matrix before any label existed, gives a mechanical Outcome J: the judge aligns substantially better with the annotator than the regex (strict-mapping Cohen’s κ 0.485 against −0.006, broad-mapping 0.662 against 0.054). One protocol deviation is disclosed rather than glossed (pre-registration §8): the blindness exclusion was applied prompt-wide (the five quoted prompts were removed from all ten aliases) instead of to the at most ten pre-specified (alias, prompt) items, which under the pre-registration’s strict letter voids the clean confirmatory badge, so this is reported as a validation consistent with Outcome J that carries one disclosed deviation, not a clean pre-registered confirmation. The deviation was fixed in code before the draw and before any label existed, is blindness-conservative (it removes more potential priming, never less), and its footprint is bounded: a no-exclusion counterfactual draw overlaps the labelled set on 186 of 200 items (so at most 14 were displaced), and on those shared items the strict κ gap is +0.51, as large as the full-sample +0.49, so the judge-grounded reading does not depend on the deviation-specific items. The two failure modes differ in kind. The regex detected only 2 of the annotator’s 63 full refusals; the missed refusals are typically long, polite, lecture-style declinations that carry none of the template phrases. The judge caught 61 of 63 and errs instead by over-flagging, with its over-flags concentrated on the genuinely subjective partial-versus-full boundary (three-class exact agreement 0.695). Three bounds are stated plainly: these labels are a blinded single-annotator reference set, not ground truth; the draw is disagreement-enriched, so the κ values are a contested-slice contrast and no population over-refusal rate or ΔOR is estimated from them; and the shared benchmark taxonomy structurally favours a semantic judge over a phrase-matcher, while the pre-registered no-swap rule was locked before the judge results existed but after the regex results were known, a timing disclosed rather than argued from. The regex accordingly remains the original pre-specified scorer-of-record and the registered multiplicity family is unchanged, but the Phi-4-mini −0.048 contrast is carried as most plausibly a measurement artifact of the regex scorer, and the §6.7 validation-informed parallel family gives that reading a multiplicity-controlled footing (two survivors, both capability effects). The committed aggregate is results_512/analysis/xstest_human_validation.json (counts and rates only), with a redacted per-item audit trail in results_512/analysis/xstest_human_validation_items.jsonl (IDs and labels only); the annotation sheet holds raw text and stays local, and a second annotator with an inter-rater κ is the residual strengthening, exactly as for the harmful-compliance audit. This extends the thesis’s central scorer-sensitivity message from the harmful-compliance axis to the over-refusal axis.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the two Qwen3 pairs run in non-default non-thinking mode, with the quantization × thinking-mode interaction untested),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at the representative pair; 0.044 to 0.086 across the five),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at the representative pair (0.044 to 0.086 across the five),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(five seeds each at temperature 0.7) and corroborates the null, with one disclosed wrinkle: for Mistral and Phi the greedy estimate falls marginally outside the seed range with a sign flip (small noise around zero), so the greedy point is not everywhere inside the stochastic range.</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XSTest refusal judge is now grounded the same way by a completed 200-item blinded audit (judge strict κ 0.485 vs regex −0.006, a mechanical Outcome J carried with one disclosed protocol deviation, prereg §8); both groundings rest on one annotator, so a second annotator for an inter-rater κ remains the strengthening on both axes; an open-weight third judge (Llama-Guard-3-8B) additionally makes the HarmBench cross-check revision-pinned and locally rerunnable, though it scores a looser construct (§7.2).</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its effect is matched across the pair by construction,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most important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validations on both axes: HarmBench harmful compliance (classifier κ 0.59 vs regex 0.11 against human labels) and the XSTest refusal gold set, which is now completed as well (200 items, blinded, a mechanical Outcome J carried with one disclosed protocol deviation, prereg §8, with the judge substantially better aligned with the annotator than the regex). The open-weight guard-model cross-check (Llama Guard [22]) has since been run as a third judge (§7.2), so the residual on that axis is the annotator, not the instrument.</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most plausibly a measurement artifact of the regex scorer (an independent refusal judge does not reproduce it, a blinded human audit finds that judge substantially better aligned with the annotator, and under the validation-informed parallel correction only the two capability losses survive).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R. J. Connor, "Sample size for testing differences in proportions for the paired-sample design," Biometrics, vol. 43, no. 1, pp. 207-211, 1987.</w:t>
      </w:r>
    </w:p>
    <w:p>
      <w:pPr>
        <w:spacing w:after="90" w:line="264"/>
        <w:ind w:left="400" w:hanging="400"/>
      </w:pPr>
      <w:r>
        <w:rPr>
          <w:rFonts w:ascii="Times New Roman" w:cs="Times New Roman" w:eastAsia="Times New Roman" w:hAnsi="Times New Roman"/>
          <w:sz w:val="22"/>
          <w:szCs w:val="22"/>
        </w:rPr>
        <w:t xml:space="preserve">[19]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[20]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[21] I. Proskurina, L. Brun, G. Metzler, and J. Velcin, "When quantization affects confidence of large language models?," in Findings of NAACL, 2024. arXiv:2405.00632.</w:t>
      </w:r>
    </w:p>
    <w:p>
      <w:pPr>
        <w:spacing w:after="90" w:line="264"/>
        <w:ind w:left="400" w:hanging="400"/>
      </w:pPr>
      <w:r>
        <w:rPr>
          <w:rFonts w:ascii="Times New Roman" w:cs="Times New Roman" w:eastAsia="Times New Roman" w:hAnsi="Times New Roman"/>
          <w:sz w:val="22"/>
          <w:szCs w:val="22"/>
        </w:rPr>
        <w:t xml:space="preserve">[22]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[23]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[24]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[25]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[26]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[23]: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[24], [25]) and is packaged for reuse in line with open-source-software peer-review norms [26].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340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(including the fail-loud quantization guard), scorers, analysis mathematics, the SLURM generator, and the registered document surfaces. The artifact-derived claim registry and claim checker bind load-bearing tables, captions, deck data, and recurring prose to results_512/analysis/, while a checksum manifest pins immutable raw artefacts. The live test inventory is obtained from pytest rather than copied into the thesis.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2026-07-21T18:01:13.720Z</dcterms:created>
  <dcterms:modified xsi:type="dcterms:W3CDTF">2026-07-21T18:01:13.721Z</dcterms:modified>
</cp:coreProperties>
</file>

<file path=docProps/custom.xml><?xml version="1.0" encoding="utf-8"?>
<Properties xmlns="http://schemas.openxmlformats.org/officeDocument/2006/custom-properties" xmlns:vt="http://schemas.openxmlformats.org/officeDocument/2006/docPropsVTypes"/>
</file>