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six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 To begin addressing this, a second capability benchmark (ARC-Challenge) has been implemented as a plugin with the same exact-match scoring but a structurally different, reasoning-oriented question distribution; running it on the matched pairs will turn the capability anchor into a two-benchmark composite (run pending — see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Second capability benchmark (run pending). The alignment-vs-capability disambiguation currently rests on a single 300-question MMLU subset. An ARC-Challenge plugin (allenai/ai2_arc, ~1,172 reasoning-oriented science questions, same exact-match scoring as MMLU) is now implemented and wired into the config, the analysis pipeline (which emits an ARC ΔACC with the same paired-bootstrap CI), and per-model TC1 sbatch; running it makes capability a two-benchmark composite and tests whether the MMLU-based capability claims (the −8.7 pp Qwen 1.7B and −4.3 pp Llama drops, and the Qwen 4B preservation that gates its label) replicate under a structurally different benchmark. ARC writes to results/&lt;model&gt;/arc/ and does not touch the existing artifacts.</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2026-06-14T10:46:24.013Z</dcterms:created>
  <dcterms:modified xsi:type="dcterms:W3CDTF">2026-06-14T10:46:24.014Z</dcterms:modified>
</cp:coreProperties>
</file>

<file path=docProps/custom.xml><?xml version="1.0" encoding="utf-8"?>
<Properties xmlns="http://schemas.openxmlformats.org/officeDocument/2006/custom-properties" xmlns:vt="http://schemas.openxmlformats.org/officeDocument/2006/docPropsVTypes"/>
</file>