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in progress. The Qwen 2B pair (Qwen3-1.7B baseline versus NF4 4-bit) completed on 2026-05-27, with preliminary results showing decreased harmful compliance (HarmBench ASR: 0.775 → 0.655), decreased over-refusal (XSTest: 0.032 → 0.016), and decreased capability (MMLU accuracy: 0.620 → 0.533) under quantization — a pattern suggestive of capability collapse rather than genuine alignment improvement. This document records the full design, implementation, preliminary results,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results (Qwen 2B populated; Qwen 4B and Llama pending).</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Experimental runs are in progress on the NTU TC1 GPU cluster. The Qwen 2B-class pair (Qwen3-1.7B baseline versus NF4 4-bit) completed successfully on 2026-05-27 (SLURM jobs 60976 and 60977). The Qwen 4B and Llama 3.2 3B pairs are pending submission and will populate the remaining rows in Table 6.1 upon completion. Bootstrap 95% confidence intervals and formal interpretation labels will be computed by the analysis pipeline (compare_quant_pairs.py) after all six model jobs finish. Preliminary observations for the completed Qwen 2B pair are recorded in §6.6.</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Qwen 2B values are the actual outputs from TC1. Remaining rows will be filled in once the corresponding jobs complete.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0.655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results. Qwen 2B values are from TC1 jobs 60976 (qwen_2b_base) and 60977 (qwen_2b_4bit), seed 42, 2026-05-27. Bootstrap 95% CIs will be added by the analysis pipeline after all pairs complete.</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The within-family scale analysis will compare the three deltas (ΔASR, Δover-refusal, ΔMMLU) computed for the qwen_2b pair against those computed for the qwen_4b pair. Two specific patterns are expected to be observable. If the smaller model is more sensitive to compression, the absolute magnitude of its deltas should be systematically larger across the three axes. If the deltas are comparable, the conclusion will be that within this regime (two to four billion parameters), quantization effects are scale-invariant. Qwen 2B deltas (Table 6.1) will serve as the reference when the Qwen 4B results arrive.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shift: capability is preserved, but refusal calibration moves (either HarmBench ASR rises or XSTest over-refusal rises or both).</w:t>
      </w:r>
    </w:p>
    <w:p>
      <w:pPr>
        <w:pStyle w:val="ListParagraph"/>
        <w:numPr>
          <w:ilvl w:val="0"/>
          <w:numId w:val="2"/>
        </w:numPr>
        <w:spacing w:after="80" w:line="280"/>
      </w:pPr>
      <w:r>
        <w:rPr>
          <w:rFonts w:ascii="Calibri" w:cs="Calibri" w:eastAsia="Calibri" w:hAnsi="Calibri"/>
          <w:sz w:val="22"/>
          <w:szCs w:val="22"/>
        </w:rPr>
        <w:t xml:space="preserve">Capability-driven safety artifact: MMLU drops noticeably, and the safety metrics also move; the safety movement is attributed to capability collapse rather than to an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w:t>
      </w:r>
    </w:p>
    <w:p>
      <w:pPr>
        <w:pStyle w:val="ListParagraph"/>
        <w:numPr>
          <w:ilvl w:val="0"/>
          <w:numId w:val="2"/>
        </w:numPr>
        <w:spacing w:after="80" w:line="280"/>
      </w:pPr>
      <w:r>
        <w:rPr>
          <w:rFonts w:ascii="Calibri" w:cs="Calibri" w:eastAsia="Calibri" w:hAnsi="Calibri"/>
          <w:sz w:val="22"/>
          <w:szCs w:val="22"/>
        </w:rPr>
        <w:t xml:space="preserve">Broad degradation: capability and both safety metrics worsen simultaneously.</w:t>
      </w:r>
    </w:p>
    <w:p>
      <w:pPr>
        <w:spacing w:after="160" w:line="300"/>
        <w:jc w:val="both"/>
      </w:pPr>
      <w:r>
        <w:rPr>
          <w:rFonts w:ascii="Calibri" w:cs="Calibri" w:eastAsia="Calibri" w:hAnsi="Calibri"/>
          <w:sz w:val="22"/>
          <w:szCs w:val="22"/>
        </w:rPr>
        <w:t xml:space="preserve">This decomposition is the principal mechanism through which the study addresses the central research question.</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w:t>
      </w:r>
    </w:p>
    <w:p>
      <w:pPr>
        <w:pStyle w:val="Heading2"/>
        <w:spacing w:after="140" w:before="280"/>
      </w:pPr>
      <w:r>
        <w:rPr>
          <w:rFonts w:ascii="Calibri" w:cs="Calibri" w:eastAsia="Calibri" w:hAnsi="Calibri"/>
          <w:b/>
          <w:bCs/>
          <w:sz w:val="26"/>
          <w:szCs w:val="26"/>
        </w:rPr>
        <w:t xml:space="preserve">6.6 Preliminary Observations: Qwen 2B Pair</w:t>
      </w:r>
    </w:p>
    <w:p>
      <w:pPr>
        <w:spacing w:after="160" w:line="300"/>
        <w:jc w:val="both"/>
      </w:pPr>
      <w:r>
        <w:rPr>
          <w:rFonts w:ascii="Calibri" w:cs="Calibri" w:eastAsia="Calibri" w:hAnsi="Calibri"/>
          <w:sz w:val="22"/>
          <w:szCs w:val="22"/>
        </w:rPr>
        <w:t xml:space="preserve">The Qwen 2B pair produced the following first-pass observations. Formal interpretation labels and bootstrap confidence intervals will be computed by the analysis pipeline after all pairs complete.</w:t>
      </w:r>
    </w:p>
    <w:p>
      <w:pPr>
        <w:spacing w:after="160" w:line="300"/>
        <w:jc w:val="both"/>
      </w:pPr>
      <w:r>
        <w:rPr>
          <w:rFonts w:ascii="Calibri" w:cs="Calibri" w:eastAsia="Calibri" w:hAnsi="Calibri"/>
          <w:sz w:val="22"/>
          <w:szCs w:val="22"/>
        </w:rPr>
        <w:t xml:space="preserve">HarmBench ASR dropped by 12.0 percentage points under quantization (0.775 → 0.655, −15.5% relative). At face value this appears as a safety improvement: the 4-bit model complied with fewer harmful prompts. However, MMLU accuracy also fell by 8.7 percentage points (0.620 → 0.533, −14.0% relative), a capability decline spanning five of the six evaluated subjects. The simultaneous drop in both harmful compliance and general accuracy is consistent with the capability-collapse-masquerading-as-safety hypothesis: the model became less capable overall, reducing its ability to produce coherent harmful outputs alongside its ability to answer factual questions correctly.</w:t>
      </w:r>
    </w:p>
    <w:p>
      <w:pPr>
        <w:spacing w:after="160" w:line="300"/>
        <w:jc w:val="both"/>
      </w:pPr>
      <w:r>
        <w:rPr>
          <w:rFonts w:ascii="Calibri" w:cs="Calibri" w:eastAsia="Calibri" w:hAnsi="Calibri"/>
          <w:sz w:val="22"/>
          <w:szCs w:val="22"/>
        </w:rPr>
        <w:t xml:space="preserve">The XSTest over-refusal rate declined by 1.6 percentage points (0.032 → 0.016, −50.0% relative). This is an unusual accompaniment to a capability-collapse pattern. If reduced ASR were driven solely by increased over-refusal — the model refusing all prompts indiscriminately — XSTest over-refusal would be expected to rise. Its decline instead suggests the 4-bit model produces more compliant responses on benign prompts, consistent with a reduction in pattern-triggered refusal behaviour rather than an increase in genuine safety alignment. Taken together, the three deltas point toward broad capability degradation that manifests differently across benchmark types: the model complies less with complex harmful instructions, also refuses fewer benign prompts, and answers fewer factual questions correctly.</w:t>
      </w:r>
    </w:p>
    <w:p>
      <w:pPr>
        <w:spacing w:after="160" w:line="300"/>
        <w:jc w:val="both"/>
      </w:pPr>
      <w:r>
        <w:rPr>
          <w:rFonts w:ascii="Calibri" w:cs="Calibri" w:eastAsia="Calibri" w:hAnsi="Calibri"/>
          <w:sz w:val="22"/>
          <w:szCs w:val="22"/>
        </w:rPr>
        <w:t xml:space="preserve">Subject-level MMLU breakdown supports this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substantially exceeds the estimated ±5 pp confidence interval width and is unlikely to be attributable to sampling noise alone.</w:t>
      </w:r>
    </w:p>
    <w:p>
      <w:pPr>
        <w:spacing w:after="160" w:line="300"/>
        <w:jc w:val="both"/>
      </w:pPr>
      <w:r>
        <w:rPr>
          <w:rFonts w:ascii="Calibri" w:cs="Calibri" w:eastAsia="Calibri" w:hAnsi="Calibri"/>
          <w:sz w:val="22"/>
          <w:szCs w:val="22"/>
        </w:rPr>
        <w:t xml:space="preserve">Formal interpretation labels and confidence intervals across all three pairs will be reported upon completion of the full matrix and execution of the analysis pipeline.</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and cluster execution is in progress. Six sbatch files have been generated, Hugging Face gated access has been verified, all required datasets and model weights have been pre-cached on TC1, and the full matrix submission has begun. The Qwen 2B pair (Qwen3-1.7B baseline versus NF4 4-bit) has completed, providing the first empirical data point: MMLU accuracy declined by 8.7 percentage points under quantization, while HarmBench ASR fell by 12.0 points and XSTest over-refusal halved. This preliminary pattern is consistent with capability collapse rather than a genuine alignment shift, and directly illustrates the disambiguation challenge that motivates the study. The Qwen 4B and Llama 3.2 3B pairs are pending; once all six jobs complete, the analysis pipeline will assign formal interpretation labels and compute bootstrap confidence intervals, producing a complete set of pairwise deltas that directly answer the five research questions and establish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2026-05-27T09:21:25.188Z</dcterms:created>
  <dcterms:modified xsi:type="dcterms:W3CDTF">2026-05-27T09:21:25.189Z</dcterms:modified>
</cp:coreProperties>
</file>

<file path=docProps/custom.xml><?xml version="1.0" encoding="utf-8"?>
<Properties xmlns="http://schemas.openxmlformats.org/officeDocument/2006/custom-properties" xmlns:vt="http://schemas.openxmlformats.org/officeDocument/2006/docPropsVTypes"/>
</file>