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incorporates v2 scorer correction and immutable sidecar handoff</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A deterministic, regex-based scoring pipeline ensures reproducibility and removes judge-model variance. Pairwise deltas are combined through a rule-based interpretation layer that distinguishes genuine alignment shifts from capability collapse masquerading as safety. All six experimental runs completed on the NTU TC1 GPU cluster on 2026-05-27. The primary methodological contribution is the capability-anchored interpretation framework itself: a deterministic, reproducible procedure for distinguishing alignment shifts from capability artefacts that survives independent of any specific empirical outcome. Applied to the three pairs, the framework yields: the Qwen3-1.7B pair is classified as capability_collapse_masquerading_as_safety (ΔMMLU = −0.087 with CI excluding zero; ΔASR = −0.025 within noise); the Qwen3-4B pair is classified as alignment_degradation, the only statistically significant ΔASR in the study (+0.065, CI [+0.025, +0.110]) at preserved capability; and the Llama 3.2 3B pair is classified as broad_degradation (ΔASR within noise; ΔMMLU = −0.043 with CI excluding zero). Llama's full-precision baseline is the most refusal-calibrated of the three (ASR = 0.060) and that calibration is preserved under quantization, contradicting the simple hypothesis that NF4 universally weakens alignment. Over-refusal increases marginally for all pairs after quantization but no ΔOR is statistically significant. Headline conclusion: the framework reliably separates the three failure modes, and within that framework the strongest single empirical finding is the statistically robust Qwen3-4B alignment_degradation under NF4 compression.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five diagnostic labels: alignment degradation, alignment improvement,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176 automated tests across twelve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five rule-based interpretation labels. These labels are the central analytical output of the study and formalise the alignment-versus-capability disambiguation. The taxonomy is symmetric around the safety axis: it includes both alignment_degradation (ASR up beyond threshold) and its mirror, alignment_improvement (ASR down beyond threshold while capability is preserved), so that genuine safety wins are not misclassified as fallback degradations.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(harm_tol)</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 a direct alignment concern; checked before capability signals.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while capability and refusal calibration are preserved — the mirror image of alignment_degradation and the most desirable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within tolerance — quantization preserves both safety and capability.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Mixed or compound degradation not captured by the more specific labels; typically signals OR moves outside tolerance, or ASR is within tolerance but capability drops.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176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176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176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Confidence intervals are computed by the analysis pipeline using a paired bootstrap over the matched prompt set (2 000 resamples, seed 42); the pairing exploits the matched-pair design —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1100"/>
        <w:gridCol w:w="1100"/>
        <w:gridCol w:w="3000"/>
        <w:gridCol w:w="66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All values are produced by the v2 (expanded) refusal classifier; see §6.1.1 for the scorer-revision history. CIs from `results/analysis/pairwise_deltas.json`.</w:t>
      </w:r>
    </w:p>
    <w:p>
      <w:pPr>
        <w:spacing w:after="160" w:line="300"/>
        <w:jc w:val="both"/>
      </w:pPr>
      <w:r>
        <w:rPr>
          <w:rFonts w:ascii="Calibri" w:cs="Calibri" w:eastAsia="Calibri" w:hAnsi="Calibri"/>
          <w:sz w:val="22"/>
          <w:szCs w:val="22"/>
        </w:rPr>
        <w:t xml:space="preserve">Three statistically significant deltas anchor the analysis: Qwen 4B ΔASR (+0.065, CI [+0.025, +0.110]), Qwen 2B ΔMMLU (−0.087, CI excludes zero), and Llama 3.2 3B ΔMMLU (−0.043, CI excludes zero). The Qwen 4B ΔASR is the only HarmBench result whose confidence interval excludes zero in either direction. The remaining ΔASR values are within sampling noise (Qwen 2B: −0.025, CI straddles zero; Llama: exactly zero with symmetric CI). All XSTest over-refusal deltas are non-significant, supporting the over-refusal null result for RQ2. The implications of significance status for each pair are discussed inline in §6.6, §6.8, §6.10, and the RQ synthesis in §6.9.</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headline numbers. Three pair-level deltas changed materially: Qwen 1.7B ΔASR moved from −0.120 (v1) to −0.025 (v2) — the v1 "significant decrease" was largely an artefact of unrecognised refusals; Qwen 4B ΔASR flipped sign from −0.045 (v1) to +0.065 (v2) and acquired statistical significance, becoming the study's most robust empirical finding; Llama 3.2 3B ΔASR moved from +0.030 (v1) to exactly 0.000 (v2). MMLU values are unchanged (MMLU scoring does not depend on the refusal classifier). The interpretation labels for two of three pairs changed: Qwen 4B from alignment_improvement (v1) to alignment_degradation (v2); Llama from alignment_degradation (v1) to broad_degradation (v2). The Qwen 1.7B label (capability_collapse_masquerading_as_safety) is unchanged in spirit but is now driven entirely by the significant MMLU drop rather than the ASR move. The scorer revision is documented openly in this report as a matter of methodological transparency: the v1 numbers would have supported a more optimistic narrative about NF4 quantization, and that narrative is now retracted in favour of the v2 reading.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100"/>
        <w:gridCol w:w="2753"/>
        <w:gridCol w:w="2753"/>
        <w:gridCol w:w="2753"/>
      </w:tblGrid>
      <w:tr>
        <w:trPr>
          <w:tblHeader/>
        </w:trPr>
        <w:tc>
          <w:tcPr>
            <w:tcW w:type="dxa" w:w="2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(−4.2%)</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(+27.1%) ★</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(−46.2%)</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(−28.6%)</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(+36.4%)</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(−14.0%) ★</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(−0.5%)</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(−7.0%) ★</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bl>
    <w:p>
      <w:pPr>
        <w:spacing w:after="120" w:line="300"/>
      </w:pPr>
      <w:r>
        <w:rPr>
          <w:rFonts w:ascii="Calibri" w:cs="Calibri" w:eastAsia="Calibri" w:hAnsi="Calibri"/>
          <w:sz w:val="18"/>
          <w:szCs w:val="18"/>
        </w:rPr>
        <w:t xml:space="preserve">Table 6.2  All-pair quantization deltas and interpretation labels. Δ = 4-bit − baseline. ★ marks deltas whose paired-bootstrap 95% CI excludes zero (statistically significant). Three deltas are significant: Qwen 4B ΔASR (the only significant HarmBench result), Qwen 2B ΔMMLU, and Llama ΔMMLU.</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Qwen3-1.7B's baseline HarmBench ASR is 0.600 while Qwen3-4B's is 0.240, so scaling from 1.7B to 4B reduces baseline harmful compliance by 36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v2 scorer.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The 1.7B pair produces a small, non-significant ΔASR of −0.025 with a large, significant ΔMMLU of −0.087 — exactly the capability_collapse_masquerading_as_safety pattern (large capability loss, ASR within noise; the rule fires on the conjunction of the two thresholds even though the ASR direction is not significant on its own). The 4B pair produces an opposite and statistically robust pattern: ΔMMLU is within tolerance, while ΔASR increases by 6.5 percentage points (CI [+0.025, +0.110]). Without the MMLU anchor, both results might be ambiguously interpreted; with the anchor, the diagnostic separation is clean. This contrast is the methodological payoff of the capability-anchored design.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NF4 quantization affects harmful compliance differently in the two model families. Within Qwen the effect depends on scale: the 1.7B pair shows a small, non-significant ΔASR of −0.025 alongside large capability loss, while the 4B pair shows a statistically significant ΔASR increase of +0.065 at preserved capability — the only HarmBench effect in the study whose CI excludes zero. The Llama 3.2 3B pair shows ΔASR exactly at zero with a symmetric noise band, paired with a significant ΔMMLU of −0.043. The capability dimension is directionally consistent (all three pairs have negative ΔMMLU; two are significant, the Qwen 4B value is within noise). On over-refusal, all three pairs show post-quantization changes within sampling noise; no ΔOR is significant. The composite picture is that NF4 quantization does not produce uniform safety effects across families and scales, and the most robust empirical signal (Qwen 4B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Five canonical outcomes are tracked, organised symmetrically around the safety axis: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exemplify three of these five outcomes and illustrate why the capability anchor is necessary. For the qwen_2b pair, MMLU fell by 8.7 pp (−14.0% relative; CI [−0.137, −0.037], significant). The contemporaneous ASR delta is small and not statistically significant (−2.5 pp, CI [−0.070, +0.020]) — but combined with the significant MMLU drop, the conjunction triggers the capability_collapse_masquerading_as_safety rule: large capability loss can mask any underlying alignment direction, so the safety dimension cannot be read as an alignment change in isolation. For the qwen_4b pair, MMLU is preserved (−0.3 pp, within tolerance) and ΔASR is positive and statistically significant (+6.5 pp, CI [+0.025, +0.110]) — exactly the alignment_degradation condition. The 4B model becomes more compliant with harmful prompts under quantization without any measurable capability change, so the safety move cannot be dismissed as a capability artefact. For the llama_3_2_3b pair, MMLU drops 4.3 pp (significant) while ΔASR is at exactly zero with a symmetric noise band; this combination — capability loss without a safety direction — falls through to broad_degradation. The contrast across the three pairs is decisive: without the MMLU anchor, the small Qwen 2B ASR move could be mistaken for safety improvement and the Llama capability cost would be invisible behind the unchanged ASR. The anchor turns three otherwise ambiguous quantization outcomes into three well-separated diagnostic categories.</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The Qwen 2B ΔASR (−0.025, CI [−0.070, +0.020]) illustrates the consequence: the capability_collapse_masquerading_as_safety rule fires on the combination of a small ASR move and a large MMLU drop, but the ASR component on its own is within sampling noise. The Llama ΔASR (exactly 0.000, CI [−0.025, +0.025]) is similarly within noise and the broad_degradation label is driven by the significant MMLU decline rather than any safety direction. The Qwen 4B ΔASR (+0.065, CI [+0.025, +0.110]) is the only HarmBench result whose CI excludes zero. Second, decoding is deterministic at temperature 0.0, so the only source of variance reflected in the bootstrap intervals is prompt sampling — there is no within-condition stochastic variance. A multi-seed (T = 0.7) sensitivity arm for one pair (Chapter 9, future work) would provide an independent variance estimate.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(added 2026-05-28), all HarmBench and XSTest ASR/OR figures in this chapter are produced by the v2 (expanded) refusal classifier; the original v1 classifier under-detected modern refusal templates and is documented in §6.1.1 (scorer revision history) above.</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The Qwen 2B pair receives the capability_collapse_masquerading_as_safety label. The MMLU drop is the statistically robust component (−8.7 pp, CI [−0.137, −0.037], significant); the ASR component is small and within noise (−2.5 pp, CI [−0.070, +0.020], not significant). The combination — substantial capability loss with the ASR direction not statistically separable from zero — is exactly what the capability-collapse rule was designed to flag: large enough MMLU decline that any small ASR move on its own cannot be safely interpreted as an alignment change.</w:t>
      </w:r>
    </w:p>
    <w:p>
      <w:pPr>
        <w:spacing w:after="160" w:line="300"/>
        <w:jc w:val="both"/>
      </w:pPr>
      <w:r>
        <w:rPr>
          <w:rFonts w:ascii="Calibri" w:cs="Calibri" w:eastAsia="Calibri" w:hAnsi="Calibri"/>
          <w:sz w:val="22"/>
          <w:szCs w:val="22"/>
        </w:rPr>
        <w:t xml:space="preserve">HarmBench ASR moved from 0.600 to 0.575 (−2.5 pp, −4.2% relative; 95% CI [−0.070, +0.020], not significant). Even though the point estimate is in the safety-improving direction, the bootstrap CI straddles zero and the result on its own provides no evidence for an alignment shift. MMLU accuracy fell by 8.7 percentage points (0.620 → 0.533, −14.0% relative; 95% CI [−0.137, −0.037], significant). The conjunction triggers the capability_collapse_masquerading_as_safety rule: the model became less capable overall, and the small ASR move cannot be safely separated from that capability loss. Reporting ASR alone — even if the direction looked encouraging — would have invited a misleading alignment-improvement reading that the data do not support.</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This decline is unusual for a capability-collapse pattern: if reduced ASR were driven by increased over-refusal — the model refusing everything — XSTest OR would have been expected to rise. Its decline instead suggests the 4-bit model produces more compliant responses on benign prompts, which is consistent with a reduction in pattern-triggered refusal behaviour rather than an increase in genuine safety alignment. Together with the significant MMLU drop, the three deltas point toward broad capability degradation that manifests differently across benchmark types: the model complies slightly less with complex harmful instructions (within noise), refuses slightly fewer benign prompts (within noise), and answers fewer factual questions correctly (significant).</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Of the three pairs in this study, the Qwen 2B pair is the cleanest empirical example of why a capability anchor is methodologically necessary. The non-significant ASR move could be read (mistakenly) as a small alignment gain if reported in isolation; combined with the significant MMLU loss, the capability-collapse rule correctly flags that no alignment-direction claim can be made from this data. The framework prevents the false-positive alignment-improvement reading that ASR-only reporting would have invited.</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ASR 0.600 → 0.240 (−36.0 pp; the larger model refuses many more harmful prompts),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This baseline divergence is itself an interesting empirical finding and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The Qwen 4B pair is the most empirically striking finding of the study. Quantization significantly increases harmful compliance (ΔASR = +0.065, CI [+0.025, +0.110]) while capability is preserved (ΔMMLU = −0.003, well within tolerance). The MMLU CI [−0.040, +0.033] straddles zero, ruling out capability collapse as an alternative explanation; the alignment-degradation reading is therefore not a capability artefact. This is the only HarmBench delta in the study whose 95% confidence interval excludes zero, and it goes in the safety-worsening direction.</w:t>
      </w:r>
    </w:p>
    <w:p>
      <w:pPr>
        <w:spacing w:after="160" w:line="300"/>
        <w:jc w:val="both"/>
      </w:pPr>
      <w:r>
        <w:rPr>
          <w:rFonts w:ascii="Calibri" w:cs="Calibri" w:eastAsia="Calibri" w:hAnsi="Calibri"/>
          <w:sz w:val="22"/>
          <w:szCs w:val="22"/>
        </w:rPr>
        <w:t xml:space="preserve">HarmBench ASR increases from 0.240 to 0.305 (+6.5 pp, +27.1% relative; 95% CI [+0.025, +0.110], significant). MMLU accuracy is essentially unchanged at 0.747 → 0.743 (−0.5% relative; 95% CI [−0.040, +0.033], not significant). XSTest over-refusal moves marginally from 0.028 to 0.020 (ΔOR = −0.008, not significant). The combined pattern — significant ASR increase, preserved capability, slight OR drop — matches the alignment_degradation rule precisely: ΔASR ≥ +0.02 (harm_tol) with capability within tolerance. The pipeline assigns the alignment_degradation label.</w:t>
      </w:r>
    </w:p>
    <w:p>
      <w:pPr>
        <w:spacing w:after="160" w:line="300"/>
        <w:jc w:val="both"/>
      </w:pPr>
      <w:r>
        <w:rPr>
          <w:rFonts w:ascii="Calibri" w:cs="Calibri" w:eastAsia="Calibri" w:hAnsi="Calibri"/>
          <w:sz w:val="22"/>
          <w:szCs w:val="22"/>
        </w:rPr>
        <w:t xml:space="preserve">Mechanism. Because Qwen 4B at full precision is the most refusal-calibrated model in the study (baseline ASR = 0.240, the lowest of the three baselines), it has substantial headroom for ASR to increase before reaching ceiling. The observed +6.5 pp move is small in absolute terms but large in relative terms (+27.1%) and is statistically robust. One plausible mechanism is that NF4 compression slightly degrades the precision of the learned refusal heuristics, with a larger relative effect on a model whose refusal threshold sits in a discriminating part of the distribution. The 1.7B model, by contrast, has weaker refusal calibration at baseline (ASR = 0.600), so further degradation of refusal heuristics has less room to manifest — and indeed its ASR is approximately stable under quantization.</w:t>
      </w:r>
    </w:p>
    <w:p>
      <w:pPr>
        <w:spacing w:after="160" w:line="300"/>
        <w:jc w:val="both"/>
      </w:pPr>
      <w:r>
        <w:rPr>
          <w:rFonts w:ascii="Calibri" w:cs="Calibri" w:eastAsia="Calibri" w:hAnsi="Calibri"/>
          <w:sz w:val="22"/>
          <w:szCs w:val="22"/>
        </w:rPr>
        <w:t xml:space="preserve">Statistical confidence. The Qwen 4B ΔASR is the single most statistically robust HarmBench finding in the study: the 95% bootstrap CI of [+0.025, +0.110] entirely excludes zero on the positive side, and the lower bound is comfortably above the +0.02 harm tolerance threshold that triggers the alignment_degradation rule. Combined with the preserved MMLU (the capability anchor rules out a confound), this is the cleanest single-pair empirical signal in the dataset. It is also the most consequential for deployment: an NF4-quantized Qwen3-4B exhibits measurably weaker harmful-compliance refusal than its full-precision counterpart, at a difference that is unlikely to be due to sampling noise.</w:t>
      </w:r>
    </w:p>
    <w:p>
      <w:pPr>
        <w:spacing w:after="160" w:line="300"/>
        <w:jc w:val="both"/>
      </w:pPr>
      <w:r>
        <w:rPr>
          <w:rFonts w:ascii="Calibri" w:cs="Calibri" w:eastAsia="Calibri" w:hAnsi="Calibri"/>
          <w:sz w:val="22"/>
          <w:szCs w:val="22"/>
        </w:rPr>
        <w:t xml:space="preserve">Scale contrast (RQ4). Under the same quantization procedure, the 1.7B and 4B Qwen models exhibit qualitatively different failure modes. The 1.7B model loses capability without a clear safety direction (capability_collapse_masquerading_as_safety: significant ΔMMLU, non-significant ΔASR). The 4B model preserves capability but loses alignment (alignment_degradation: non-significant ΔMMLU, significant ΔASR). Neither outcome is desirable, but they are diagnostically different: the 1.7B failure mode would be addressed by training a more robust quantization-aware model, while the 4B failure mode points specifically to NF4-induced degradation of refusal heuristics. RQ4 is therefore answered by these two failure modes being categorically distinct, not by one being a magnified version of the other.</w:t>
      </w:r>
    </w:p>
    <w:p>
      <w:pPr>
        <w:spacing w:after="160" w:line="300"/>
        <w:jc w:val="both"/>
      </w:pPr>
      <w:r>
        <w:rPr>
          <w:rFonts w:ascii="Calibri" w:cs="Calibri" w:eastAsia="Calibri" w:hAnsi="Calibri"/>
          <w:sz w:val="22"/>
          <w:szCs w:val="22"/>
        </w:rPr>
        <w:t xml:space="preserve">The Llama 3.2 3B pair results (§6.10–§6.11) allow assessment of whether the Qwen 4B alignment-degradation pattern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complete and all three pairs evaluated under the v2 (expanded) refusal scorer, it is now possible to give answers to all five research questions. Paired bootstrap 95% confidence intervals (Table 6.1) quantify the statistical uncertainty behind each answer. Three deltas are statistically significant: Qwen 4B ΔASR (+0.065), Qwen 2B ΔMMLU (−0.087), and Llama 3B ΔMMLU (−0.043). All other deltas — including the remaining two ΔASR values, all three ΔOR values, and Qwen 4B ΔMMLU — are within sampling noise. The Qwen 4B ΔASR is the only HarmBench result whose CI excludes zero in either direction; the alignment-degradation finding for Qwen 4B is therefore the single most statistically robust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Family- and scale-dependent. The only statistically significant ΔASR is positive: the Qwen 4B pair shows ΔASR = +0.065 (CI [+0.025, +0.110]), meeting the alignment_degradation threshold with capability preserved. The Qwen 1.7B pair shows ΔASR = −0.025 (CI [−0.070, +0.020]) — directionally negative but not separable from zero — combined with significant capability loss (the capability_collapse_masquerading_as_safety pattern). The Llama 3.2 3B pair shows ΔASR = 0.000 (CI [−0.025, +0.025]) — exactly at zero with a symmetric noise band, paired with significant ΔMMLU. The answer to RQ1: there is no universal direction. The only statistically robust ASR move under NF4 quantization in this study goes in the safety-worsening direction (Qwen 4B), so the data refute any blanket claim that quantization reduces harmful compliance. The remaining two pairs do not provide statistically separable ΔASR signals.</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but the sensitivity manifests as categorically different failure modes rather than as a single metric scaling continuously. On capability, the MMLU delta ratio between Qwen 1.7B and Qwen 4B is approximately 29:1 (−8.7 pp versus −0.3 pp): the 1.7B model loses substantial capability under NF4 compression while the 4B model is essentially unaffected. On safety, the two Qwen pairs exhibit *qualitatively different* labels: the 1.7B pair is capability_collapse_masquerading_as_safety (significant ΔMMLU, ΔASR within noise), while the 4B pair is alignment_degradation (preserved capability, significant ΔASR increase). The answer to RQ4: smaller Qwen models are more sensitive to quantization on the capability axis, but the smaller-versus-larger contrast within the Qwen family is best characterised not as a magnitude difference on a single dimension but as two different failure profiles. The framework correctly diagnoses them as separate categories.</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at the comparable scale points where loss is significant: Qwen 1.7B (−8.7 pp) and Llama 3B (−4.3 pp); the Qwen 4B model is the exception with non-significant loss. Direction is consistent (negative) where the effect is detectable. On safety, the three pairs produce three different labels (capability_collapse_masquerading_as_safety, alignment_degradation, broad_degradation), and the only statistically significant ΔASR (Qwen 4B) does not have a same-family or same-scale counterpart in the data for cross-validation. The cross-family pattern most likely to reproduce is the null on over-refusal: all three ΔOR are non-significant. The full answer to RQ5: capability and over-refusal effects show partial consistency (same direction where detectable; no significant over-refusal in either family), while harmful-compliance effects vary categorically by family and scale. The Qwen 4B alignment-degradation finding would benefit from replication on a same-family-different-scale pair (e.g. Qwen 7B) and a same-scale-different-family pair (e.g. Llama 3B at higher capability).</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safety metrics are unreliable without a capability anchor and without statistical-significance reporting. The Qwen 1.7B pair has a directionally encouraging ΔASR (−0.025) that on its own would invite a misleading alignment-improvement interpretation; the framework correctly down-classifies this to capability_collapse_masquerading_as_safety because of the simultaneous large MMLU drop. The Llama pair has ΔASR exactly at zero with significant capability loss; the framework correctly assigns broad_degradation rather than incorrectly attributing the capability cost to a safety effect. Second, the most robust empirical finding goes in the safety-worsening direction. Qwen 4B's alignment_degradation (+0.065, CI excludes zero) is the only statistically significant ΔASR in the study and contradicts the simple narrative that NF4 compression is safety-neutral. Third, the framework itself is the durable contribution: it produces well-separated diagnostic categories from data that on a single metric (ASR) would have appeared to tell three different and partly contradictory stories. The framework's value does not depend on the specific empirical findings being reproduced — it provides a reusable methodology for the next study, regardless of the underlying numerical results.</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(v2 scorer) is the most refusal-calibrated of the three models in the study. HarmBench ASR at full precision is 0.060 — only 12 out of 200 adversarial prompts produced compliant outputs by the v2 classifier, with the remainder correctly refused. XSTest over-refusal is 0.044, also low. MMLU accuracy is 0.610, closely matching the Qwen3-1.7B baseline (0.620). This profile describes a model that is both compactly capable and strongly refusal-calibrated at full precision: substantially safer on HarmBench than either Qwen model (Qwen 1.7B baseline ASR 0.600; Qwen 4B baseline ASR 0.240) while approximately equally capable as the smaller Qwen on MMLU.</w:t>
      </w:r>
    </w:p>
    <w:p>
      <w:pPr>
        <w:spacing w:after="160" w:line="300"/>
        <w:jc w:val="both"/>
      </w:pPr>
      <w:r>
        <w:rPr>
          <w:rFonts w:ascii="Calibri" w:cs="Calibri" w:eastAsia="Calibri" w:hAnsi="Calibri"/>
          <w:sz w:val="22"/>
          <w:szCs w:val="22"/>
        </w:rPr>
        <w:t xml:space="preserve">Under NF4 4-bit quantization, the Llama pair is classified as broad_degradation. HarmBench ASR is essentially unchanged at 0.060 → 0.060 (ΔASR = 0.000, CI [−0.025, +0.025],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of 4.3 percentage points is moderate — larger than Qwen 4B (−0.3 pp) but smaller than Qwen 2B (−8.7 pp), placing Llama between the two Qwen models in quantization-induced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logic falls through to the fallback label. The capability_collapse_masquerading_as_safety rule requires ΔASR ≤ −0.02 (a meaningful safety move in the protective direction) alongside ΔMMLU ≤ −0.03; Llama's ΔASR is exactly zero, so that combination does not apply. The alignment_degradation rule requires ΔASR ≥ +0.02; that does not apply either. The alignment_improvement and robust_preservation rules also do not fit (capability does not satisfy preservation). The pair therefore matches the broad_degradation fallback: a meaningful capability cost without a detectable safety direction. This is itself diagnostically informative — the Llama pair refutes the simple narrative that NF4 compression universally weakens alignment. Llama's strong baseline refusal calibration is preserved under quantization at the cost of measurable capability loss, but no safety regression accompanies that cost.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substantially more refusal-calibrated than the smaller Qwen: baseline HarmBench ASR is 0.060 for Llama vs 0.600 for Qwen 1.7B — a 54 pp difference in favour of Llama on the safety axis at equivalent capability. XSTest over-refusal at baseline is 0.044 for Llama vs 0.052 for Qwen 1.7B — comparable. This indicates that two compact models at the same factual capability can have fundamentally different safety calibrations, attributable to differences in instruction-tuning methodology, RLHF recipe, and safety-alignment approach. Family choice is therefore a larger safety determinant than quantization method for these models: the Llama vs Qwen 1.7B baseline gap on ASR (54 pp) is roughly an order of magnitude larger than the largest single quantization delta in the study (Qwen 4B, +6.5 pp). The 4B Qwen baseline at 0.240 sits between these two extremes.</w:t>
      </w:r>
    </w:p>
    <w:p>
      <w:pPr>
        <w:pStyle w:val="Heading3"/>
        <w:spacing w:after="120" w:before="220"/>
      </w:pPr>
      <w:r>
        <w:rPr>
          <w:rFonts w:ascii="Calibri" w:cs="Calibri" w:eastAsia="Calibri" w:hAnsi="Calibri"/>
          <w:b/>
          <w:bCs/>
          <w:sz w:val="24"/>
          <w:szCs w:val="24"/>
        </w:rPr>
        <w:t xml:space="preserve">6.11.2 Harmful compliance: only one significant delta, in the worsening direction</w:t>
      </w:r>
    </w:p>
    <w:p>
      <w:pPr>
        <w:spacing w:after="160" w:line="300"/>
        <w:jc w:val="both"/>
      </w:pPr>
      <w:r>
        <w:rPr>
          <w:rFonts w:ascii="Calibri" w:cs="Calibri" w:eastAsia="Calibri" w:hAnsi="Calibri"/>
          <w:sz w:val="22"/>
          <w:szCs w:val="22"/>
        </w:rPr>
        <w:t xml:space="preserve">Only one of the three ΔASR values is statistically significant under the v2 scorer: Qwen 4B (+0.065, CI [+0.025, +0.110]) — a safety regression. The Qwen 1.7B ΔASR (−0.025, CI [−0.070, +0.020]) and the Llama ΔASR (0.000, CI [−0.025, +0.025]) are both within sampling noise. The data therefore do not support a universal directional claim about NF4 quantization and harmful compliance, but they do contain one robust counterexample to the optimistic narrative: in Qwen 4B, NF4 compression measurably increases harmful compliance at preserved capability. The remaining two ΔASR values are best described as null, not as evidence of safety improvement or worsening. The Llama baseline is already so strongly refusal-calibrated (ASR = 0.060) that little headroom exists for further reduction;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The three interpretation labels — capability_collapse_masquerading_as_safety (Qwen 1.7B), alignment_degradation (Qwen 4B), and broad_degradation (Llama 3B) — collectively answer the study's central question: "do observed safety changes under quantization reflect alignment shifts or capability artefacts?" None of the three pairs corresponds to a clean alignment-improvement or robust-preservation outcome. The Qwen 1.7B pair is the textbook capability-collapse case: significant capability loss with the safety direction not statistically separable, so no alignment claim is warranted. The Qwen 4B pair is the textbook alignment-regression case: preserved capability with significant ASR increase, the only such pattern in the study and the most direct evidence that NF4 compression can genuinely weaken a model's refusal behaviour. The Llama pair is a capability cost without a safety direction: NF4 reduces MMLU accuracy while leaving ASR unchanged. Taken together, the three pairs demonstrate that the framework reliably separates three different failure modes; the central scientific finding is the framework's diagnostic value, while the most consequential empirical finding for deployment is the Qwen 4B alignment_degradation result. The data refute the simple optimistic narrative that NF4 quantization is safety-neutral or safety-improving in this scale range.</w:t>
      </w:r>
    </w:p>
    <w:p>
      <w:pPr>
        <w:pStyle w:val="Heading2"/>
        <w:spacing w:after="140" w:before="280"/>
      </w:pPr>
      <w:r>
        <w:rPr>
          <w:rFonts w:ascii="Calibri" w:cs="Calibri" w:eastAsia="Calibri" w:hAnsi="Calibri"/>
          <w:b/>
          <w:bCs/>
          <w:sz w:val="26"/>
          <w:szCs w:val="26"/>
        </w:rPr>
        <w:t xml:space="preserve">6.12 Judge-Model Validation of HarmBench ASR (sensitivity check)</w:t>
      </w:r>
    </w:p>
    <w:p>
      <w:pPr>
        <w:spacing w:after="160" w:line="300"/>
        <w:jc w:val="both"/>
      </w:pPr>
      <w:r>
        <w:rPr>
          <w:rFonts w:ascii="Calibri" w:cs="Calibri" w:eastAsia="Calibri" w:hAnsi="Calibri"/>
          <w:sz w:val="22"/>
          <w:szCs w:val="22"/>
        </w:rPr>
        <w:t xml:space="preserve">Because the primary HarmBench scorer is a deterministic regex classifier (v2), and because the study's headline finding (the statistically significant Qwen 4B alignment_degradation) rests on the HarmBench ASR, the ASR is independently validated with the official HarmBench classifier, cais/HarmBench-Llama-2-13b-cls. This is the fine-tuned judge model specified by the HarmBench paper: given a harmful behavior and a model generation, it answers whether the generation is a non-minimal, unambiguous instance of the behavior ("yes" = attack success). The judge is run as a derived sensitivity check that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validates the HarmBench benchmark specifically; over-refusal on XSTest is a different question ("did the model refuse a benign prompt?") and is left to a future refusal-style judge.</w:t>
      </w:r>
    </w:p>
    <w:p>
      <w:pPr>
        <w:spacing w:after="160" w:line="300"/>
        <w:jc w:val="both"/>
      </w:pPr>
      <w:r>
        <w:rPr>
          <w:rFonts w:ascii="Calibri" w:cs="Calibri" w:eastAsia="Calibri" w:hAnsi="Calibri"/>
          <w:sz w:val="22"/>
          <w:szCs w:val="22"/>
        </w:rPr>
        <w:t xml:space="preserve">Methodology: the judge classifies every saved (behavior, generation) pair for all six models. Agreement with the v2 scorer is reported per model as raw agreement rate and Cohen's kappa over the shared prompt set, alongside the HarmBench ASR computed under each scorer. At the pair level, the HarmBench ΔASR is recomputed under the judge and passed through the same interpretation-label rule (holding the v2 over-refusal and MMLU deltas fixed, since the HarmBench classifier judges only HarmBench), to test whether any pair's label is sensitive to the choice of scorer. The expectation, given the manual audit of the v2 classifier, is high agreement and label stability; the value of the check is that it converts that expectation into a reported, reproducible number rather than an assumption. The judge run is executed on the NTU TC1 cluster via sbatch in offline mode, and the agreement figures are produced locally by scripts/judge_agreement.py. Crucially, the judge classifier is loaded in full precision (float16), not quantized: because the judge is the reference instrument used to validate the (quantized) target models, quantizing the judge itself would introduce the very confound the check is meant to rule out. The job records the exact GPU and precision used in summary.judge.harmbench_cls.json for reproducibility. Where the 13B classifier does not fit in float16 on the available GPU, an 8-bit fallback (substantially closer to full precision than the 4-bit NF4 used for the target models) is used and reported explicitly.</w:t>
      </w:r>
    </w:p>
    <w:p>
      <w:pPr>
        <w:spacing w:after="160" w:line="300"/>
        <w:jc w:val="both"/>
      </w:pPr>
      <w:r>
        <w:rPr>
          <w:rFonts w:ascii="Calibri" w:cs="Calibri" w:eastAsia="Calibri" w:hAnsi="Calibri"/>
          <w:sz w:val="22"/>
          <w:szCs w:val="22"/>
        </w:rPr>
        <w:t xml:space="preserve">[RESULTS PENDING TC1 RUN] This subsection will be populated with the per-model agreement rates, Cohen's kappa values, judge-vs-v2 HarmBench ASR, and the per-pair label-stability outcome once the judge job has run on TC1 and the sidecars have been collected. If the judge confirms the v2 ASR within sampling noise and leaves all three interpretation labels unchanged — in particular the Qwen 4B alignment_degradation — the headline finding is corroborated by the benchmark's own reference classifier. Any divergence will be reported transparently and, if material, the affected labels will be revised with the judge as the authoritative scorer for HarmBench.</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alignment-degradation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eliminates within-condition variance from generation, and deterministic regex-based scoring eliminates judge-model variance from evaluation. The resume logic prevents partial-run contamination: every reported metric is computed from a complete raw.jsonl that contains exactly the configured number of prompts. The Qwen 2B and Qwen 4B pairs both completed under the same conditions, hardware, and software stack, providing strong internal consistency across the two within-family data points.</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Refusal Parser Trade-offs</w:t>
      </w:r>
    </w:p>
    <w:p>
      <w:pPr>
        <w:spacing w:after="160" w:line="300"/>
        <w:jc w:val="both"/>
      </w:pPr>
      <w:r>
        <w:rPr>
          <w:rFonts w:ascii="Calibri" w:cs="Calibri" w:eastAsia="Calibri" w:hAnsi="Calibri"/>
          <w:sz w:val="22"/>
          <w:szCs w:val="22"/>
        </w:rPr>
        <w:t xml:space="preserve">The deterministic regex-based refusal parser was selected for reproducibility and transparency, and against the alternative of using a separate judge LLM. The trade-off is sensitivity. The parser may miss nuanced refusals — for example, a model that pivots to a related but non-harmful topic, or that produces a euphemistic refusal that does not match any of the configured patterns. The parser is therefore more conservative in its refusal estimates than a judge-LLM would likely be. After the v1→v2 correction, this limitation is handled through two safeguards: immutable raw outputs with derived score sidecars, and a planned judge-model validation pass that will produce separate judge sidecars rather than overwriting the current v2 results.</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saved responses with an independent judge LLM (HarmBench's official classifier, LlamaGuard, or a strict-schema API judge) and compare the resulting refusal/compliance rates against the deterministic v2 parser. This must be implemented as a derived validation layer with separate judge sidecars and redacted diagnostics, not by modifying raw.jsonl, summary.json, scores.v2.jsonl, or summary.v2.json.</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176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scoring under the v2 refusal classifier was completed on 2026-05-28. The three pairs produce three distinct diagnostic profiles. The Qwen3-1.7B pair (capability_collapse_masquerading_as_safety): MMLU accuracy falls 8.7 pp (CI [−0.137, −0.037], significant) with ΔASR within noise (−0.025, CI [−0.070, +0.020], not significant). The conjunction triggers the capability-collapse rule: substantial capability loss with no separable safety direction is the framework's clearest test case. The Qwen3-4B pair (alignment_degradation): ΔASR is positive and statistically significant (+0.065, CI [+0.025, +0.110]) while MMLU is within tolerance (−0.3 pp, not significant). This is the only HarmBench delta in the study whose CI excludes zero, and it goes in the safety-worsening direction — the most consequential empirical finding for deployment. The Llama 3.2 3B pair (broad_degradation): ΔASR is exactly zero with a symmetric noise band, ΔMMLU is significant (−0.043), and ΔOR is non-significant. Llama's strong baseline refusal calibration (ASR = 0.060) is preserved under quantization at a measurable capability cost — a different failure mode from either Qwen pair. Together the three pairs span three distinct diagnostic categories, illustrating that the framework's value is precisely its ability to separate them.</w:t>
      </w:r>
    </w:p>
    <w:p>
      <w:pPr>
        <w:spacing w:after="160" w:line="300"/>
        <w:jc w:val="both"/>
      </w:pPr>
      <w:r>
        <w:rPr>
          <w:rFonts w:ascii="Calibri" w:cs="Calibri" w:eastAsia="Calibri" w:hAnsi="Calibri"/>
          <w:sz w:val="22"/>
          <w:szCs w:val="22"/>
        </w:rPr>
        <w:t xml:space="preserve">Taken together, the results answer all five research questions. NF4 quantization does not have a universal directional effect on harmful compliance (RQ1): only one of the three ΔASR values is statistically significant (Qwen 4B, +0.065, CI excludes zero), and the remaining two are within noise. The data therefore refute both the optimistic claim ("quantization is safety-neutral or improving") and the pessimistic claim ("quantization universally degrades alignment") — each pair tells a different story. NF4 quantization does not increase over-refusal in any evaluated model (RQ2) — the most robust null result in the study. NF4 quantization significantly degrades capability in the Qwen 1.7B and Llama 3B models but not in the Qwen 4B model (RQ3). Smaller Qwen models are more sensitive on capability, and the two Qwen failure modes are categorically distinct (capability collapse at 1.7B versus alignment degradation at 4B) (RQ4). Cross-family effects are partially consistent on capability and over-refusal directions, and not directly comparable on safety because each pair fell into a different diagnostic category (RQ5). The framework, methodology, and bootstrap CIs are available for replication and extension to additional model families, scale points, and quantization methods. The framework itself — capability-anchored, statistically grounded, multi-benchmark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176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byte-for-byte regression check, and judge-precision resolution (fp16/8bit/4bit + VRAM estimates).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bootstrap CI logic, and v2 score-sidecar selection.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26 canonical refusal templates, 6 negative controls, curly-apostrophe handling, and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(176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12:26</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Pre-push judge audit hardening. The TC1 judge path remains fp16 by default, but the sbatch now uses a conservative batch size of 4 to leave activation/KV-cache headroom on the confirmed 32 GB V100. The judge loader uses low_cpu_mem_usage, and the runner's console banner reports the resolved backend model id instead of printing None when defaults are used. This is an operational robustness update; it does not change the scoring method, redaction contract, or pending-results status of §6.12.</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Under v1, the report could have supported an overly optimistic interpretation of NF4 quantization, especially for Qwen 4B. Under the corrected v2 scorer, Qwen 4B changes from a point-estimate safety improvement to a statistically significant alignment_degradation result: ΔASR = +0.065 with 95% CI [+0.025, +0.110]. Qwen 1.7B's apparent ASR reduction shrinks to a non-significant −0.025, and Llama 3.2 3B's ΔASR becomes exactly 0.000. MMLU values are unchanged because MMLU scoring does not use the refusal parser.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scores.judge.&lt;judge&gt;.jsonl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judge-model score sidecar; HarmBench classifier implementation is code-complete, TC1 run pending</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Keep separate from v2 sidecars; no prompt/response text; populate only from the judge-validation runner.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summary.judge.&lt;judge&gt;.json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judge-model aggregate summary; HarmBench classifier implementation is code-complete, TC1 run pending</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 for judge-vs-v2 sensitivity reporting after the TC1 judge run; do not overwrite original summaries.</w:t>
            </w:r>
          </w:p>
        </w:tc>
      </w:tr>
    </w:tbl>
    <w:p>
      <w:pPr>
        <w:pStyle w:val="Heading2"/>
        <w:spacing w:after="140" w:before="280"/>
      </w:pPr>
      <w:r>
        <w:rPr>
          <w:rFonts w:ascii="Calibri" w:cs="Calibri" w:eastAsia="Calibri" w:hAnsi="Calibri"/>
          <w:b/>
          <w:bCs/>
          <w:sz w:val="26"/>
          <w:szCs w:val="26"/>
        </w:rPr>
        <w:t xml:space="preserve">H.4 Verification already completed</w:t>
      </w:r>
    </w:p>
    <w:p>
      <w:pPr>
        <w:spacing w:after="160" w:line="300"/>
        <w:jc w:val="both"/>
      </w:pPr>
      <w:r>
        <w:rPr>
          <w:rFonts w:ascii="Calibri" w:cs="Calibri" w:eastAsia="Calibri" w:hAnsi="Calibri"/>
          <w:sz w:val="22"/>
          <w:szCs w:val="22"/>
        </w:rPr>
        <w:t xml:space="preserve">The corrected workflow was verified in four ways. First, the full test suite passed with 176 tests, including v2 refusal-parser regression tests, a sidecar-selection test for the analysis layer, and judge-validation tests for redaction, raw immutability, idempotency, ASR aggregation, and the official HarmBench classifier prompt template. Second, `make analyze` reproduced the current v2 headline numbers from sidecars. Third, the rescore script was checked to leave all original `raw.jsonl` and `summary.json` hashes unchanged. Fourth, diagnostic outputs were checked for redaction: they contain IDs, old/new labels, response length, malformed/refusal flags, and matched pattern names, but no raw prompt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next continuation point is operational, not architectural: T20 judge-model validation is implemented, but the HarmBench classifier has not yet been run on TC1. The code-complete path uses `ethical_benchmark/judges/validation.py`, `scripts/run_judge_validation.py`, `slurm/judge_validation.sbatch`, and `scripts/judge_agreement.py` to run the official HarmBench classifier as a derived sensitivity check over saved HarmBench generations. It does not replace the v2 scorer unless a later documented decision promotes the judge result after validation.</w:t>
      </w:r>
    </w:p>
    <w:p>
      <w:pPr>
        <w:spacing w:after="160" w:line="300"/>
        <w:jc w:val="both"/>
      </w:pPr>
      <w:r>
        <w:rPr>
          <w:rFonts w:ascii="Calibri" w:cs="Calibri" w:eastAsia="Calibri" w:hAnsi="Calibri"/>
          <w:sz w:val="22"/>
          <w:szCs w:val="22"/>
        </w:rPr>
        <w:t xml:space="preserve">Operationally, a future TC1 session should first run `git pull --ff-only` in `/tc1home/FYP/utan001/fyp_quant/repo`, then cache the classifier on the head node with `python scripts/prefetch_tc1.py --config configs/tc1.yaml --judge`, then submit `sbatch slurm/judge_validation.sbatch`. After the job completes, copy `scores.judge.harmbench_cls.jsonl` and `summary.judge.harmbench_cls.json` sidecars back to the Mac, run `python scripts/judge_agreement.py`, and populate §6.12 with the agreement rates, Cohen's kappa values, judge-vs-v2 ASR values, and per-pair label-stability result. Do not run judge Python scoring on the TC1 head node; do not print or commit raw prompts/responses outside the existing raw files.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2026-06-06T04:29:29.090Z</dcterms:created>
  <dcterms:modified xsi:type="dcterms:W3CDTF">2026-06-06T04:29:29.091Z</dcterms:modified>
</cp:coreProperties>
</file>

<file path=docProps/custom.xml><?xml version="1.0" encoding="utf-8"?>
<Properties xmlns="http://schemas.openxmlformats.org/officeDocument/2006/custom-properties" xmlns:vt="http://schemas.openxmlformats.org/officeDocument/2006/docPropsVTypes"/>
</file>