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60"/>
        <w:jc w:val="center"/>
      </w:pPr>
      <w:r>
        <w:rPr>
          <w:rFonts w:ascii="Times New Roman" w:cs="Times New Roman" w:eastAsia="Times New Roman" w:hAnsi="Times New Roman"/>
          <w:b/>
          <w:bCs/>
          <w:sz w:val="24"/>
          <w:szCs w:val="24"/>
        </w:rPr>
        <w:t xml:space="preserve">FINAL YEAR PROJECT</w:t>
      </w:r>
    </w:p>
    <w:p>
      <w:pPr>
        <w:spacing w:after="480"/>
        <w:jc w:val="center"/>
      </w:pPr>
      <w:r>
        <w:rPr>
          <w:rFonts w:ascii="Times New Roman" w:cs="Times New Roman" w:eastAsia="Times New Roman" w:hAnsi="Times New Roman"/>
          <w:b/>
          <w:bCs/>
          <w:sz w:val="28"/>
          <w:szCs w:val="28"/>
        </w:rPr>
        <w:t xml:space="preserve">Interim Report</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Interim Report · 10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382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360"/>
        <w:jc w:val="both"/>
      </w:pPr>
      <w:r>
        <w:rPr>
          <w:rFonts w:ascii="Times New Roman" w:cs="Times New Roman" w:eastAsia="Times New Roman" w:hAnsi="Times New Roman"/>
          <w:sz w:val="24"/>
          <w:szCs w:val="24"/>
        </w:rPr>
        <w:t xml:space="preserve">I hereby declare that this Final Year Project interim report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interim report (its research design, experimental methodology, analysis, and interpretation) is the product of my own work, although I have received assistance on software implementation, language, and presentation as acknowledged herein.</w:t>
      </w:r>
    </w:p>
    <w:p>
      <w:pPr>
        <w:spacing w:after="160" w:line="360"/>
        <w:jc w:val="both"/>
      </w:pPr>
      <w:r>
        <w:rPr>
          <w:rFonts w:ascii="Times New Roman" w:cs="Times New Roman" w:eastAsia="Times New Roman" w:hAnsi="Times New Roman"/>
          <w:sz w:val="24"/>
          <w:szCs w:val="24"/>
        </w:rPr>
        <w:t xml:space="preserve">All experimental results reported in this interim report were produced by the open-source benchmarking framework described herein, executed on the NTU TC1 GPU cluster. Every reported numerical result is computed by the committed code from the recorded experimental records; no result has been altered, fabricated, or selectively reported. The per-generation raw records are retained locally and pinned by cryptographic hash rather than committed to the public repository, so a third party reproduces the results either by re-running the pipeline from the committed configuration and source code, or by replaying the committed redacted score sidecars — not by recomputing from raw generations on a fresh clone.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360"/>
        <w:jc w:val="left"/>
      </w:pPr>
      <w:r>
        <w:rPr>
          <w:rFonts w:ascii="Times New Roman" w:cs="Times New Roman" w:eastAsia="Times New Roman" w:hAnsi="Times New Roman"/>
          <w:sz w:val="24"/>
          <w:szCs w:val="24"/>
        </w:rPr>
        <w:t xml:space="preserve">Tan Uei Horng  (UTAN001)</w:t>
      </w:r>
    </w:p>
    <w:p>
      <w:pPr>
        <w:spacing w:after="30" w:line="360"/>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360"/>
        <w:jc w:val="left"/>
      </w:pPr>
      <w:r>
        <w:rPr>
          <w:rFonts w:ascii="Times New Roman" w:cs="Times New Roman" w:eastAsia="Times New Roman" w:hAnsi="Times New Roman"/>
          <w:sz w:val="24"/>
          <w:szCs w:val="24"/>
        </w:rPr>
        <w:t xml:space="preserve">Date:  10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360"/>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interim report asks whether the safety changes attributed to quantization are genuine alignment shifts or artefacts of capability loss, invalid scoring, or truncated generation.</w:t>
      </w:r>
    </w:p>
    <w:p>
      <w:pPr>
        <w:spacing w:after="160" w:line="360"/>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360"/>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no pair shows a significant increase in harmful compliance under four-bit NF4: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pPr>
        <w:spacing w:after="160" w:line="360"/>
        <w:jc w:val="both"/>
      </w:pPr>
      <w:r>
        <w:rPr>
          <w:rFonts w:ascii="Times New Roman" w:cs="Times New Roman" w:eastAsia="Times New Roman" w:hAnsi="Times New Roman"/>
          <w:sz w:val="24"/>
          <w:szCs w:val="24"/>
        </w:rPr>
        <w:t xml:space="preserve">Status of this interim report. This report presents the project’s completed methodology, system, experimental setup, and results, together with the corrections and re-runs made along the way (a scorer-validity correction and a generation-budget re-run, both documented in Chapter 6) and an explicit statement of remaining work. All experiments across the five matched pairs, three precisions, and four benchmarks are complete, as are the two-judge cross-check and a single-annotator human-label validation of the primary scorer; the outstanding items are a second human annotator for an inter-rater agreement figure and the final thesis write-up. The full-length treatment of every result arm is deferred to the final thesis; this interim report presents each at headline depth.</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360"/>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360"/>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360"/>
        <w:jc w:val="left"/>
      </w:pPr>
      <w:r>
        <w:rPr>
          <w:rFonts w:ascii="Times New Roman" w:cs="Times New Roman" w:eastAsia="Times New Roman" w:hAnsi="Times New Roman"/>
          <w:sz w:val="24"/>
          <w:szCs w:val="24"/>
        </w:rPr>
        <w:t xml:space="preserve">Table 3.1  Model pairs, families, and parameter scales.</w:t>
      </w:r>
    </w:p>
    <w:p>
      <w:pPr>
        <w:spacing w:after="60" w:line="360"/>
        <w:jc w:val="left"/>
      </w:pPr>
      <w:r>
        <w:rPr>
          <w:rFonts w:ascii="Times New Roman" w:cs="Times New Roman" w:eastAsia="Times New Roman" w:hAnsi="Times New Roman"/>
          <w:sz w:val="24"/>
          <w:szCs w:val="24"/>
        </w:rPr>
        <w:t xml:space="preserve">Table 3.2  Benchmarks, primary metrics, and sample budgets.</w:t>
      </w:r>
    </w:p>
    <w:p>
      <w:pPr>
        <w:spacing w:after="60" w:line="360"/>
        <w:jc w:val="left"/>
      </w:pPr>
      <w:r>
        <w:rPr>
          <w:rFonts w:ascii="Times New Roman" w:cs="Times New Roman" w:eastAsia="Times New Roman" w:hAnsi="Times New Roman"/>
          <w:sz w:val="24"/>
          <w:szCs w:val="24"/>
        </w:rPr>
        <w:t xml:space="preserve">Table 3.3  Interpretation labels derived from combined deltas.</w:t>
      </w:r>
    </w:p>
    <w:p>
      <w:pPr>
        <w:spacing w:after="60" w:line="360"/>
        <w:jc w:val="left"/>
      </w:pPr>
      <w:r>
        <w:rPr>
          <w:rFonts w:ascii="Times New Roman" w:cs="Times New Roman" w:eastAsia="Times New Roman" w:hAnsi="Times New Roman"/>
          <w:sz w:val="24"/>
          <w:szCs w:val="24"/>
        </w:rPr>
        <w:t xml:space="preserve">Table 5.1  Experimental configuration summary.</w:t>
      </w:r>
    </w:p>
    <w:p>
      <w:pPr>
        <w:spacing w:after="60" w:line="360"/>
        <w:jc w:val="left"/>
      </w:pPr>
      <w:r>
        <w:rPr>
          <w:rFonts w:ascii="Times New Roman" w:cs="Times New Roman" w:eastAsia="Times New Roman" w:hAnsi="Times New Roman"/>
          <w:sz w:val="24"/>
          <w:szCs w:val="24"/>
        </w:rPr>
        <w:t xml:space="preserve">Table 6.1  Judge-versus-regex agreement (Cohen’s κ) by model family.</w:t>
      </w:r>
    </w:p>
    <w:p>
      <w:pPr>
        <w:spacing w:after="60" w:line="360"/>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360"/>
        <w:jc w:val="left"/>
      </w:pPr>
      <w:r>
        <w:rPr>
          <w:rFonts w:ascii="Times New Roman" w:cs="Times New Roman" w:eastAsia="Times New Roman" w:hAnsi="Times New Roman"/>
          <w:sz w:val="24"/>
          <w:szCs w:val="24"/>
        </w:rPr>
        <w:t xml:space="preserve">Table 6.3  Precision sweep: HarmBench ASR at fp16 / INT8 / NF4 (judge).</w:t>
      </w:r>
    </w:p>
    <w:p>
      <w:pPr>
        <w:spacing w:after="60" w:line="360"/>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360"/>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360"/>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360"/>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360"/>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360"/>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360"/>
        <w:jc w:val="both"/>
      </w:pPr>
      <w:r>
        <w:rPr>
          <w:rFonts w:ascii="Times New Roman" w:cs="Times New Roman" w:eastAsia="Times New Roman" w:hAnsi="Times New Roman"/>
          <w:sz w:val="24"/>
          <w:szCs w:val="24"/>
        </w:rPr>
        <w:t xml:space="preserve">This interim report is organised around five research questions:</w:t>
      </w:r>
    </w:p>
    <w:p>
      <w:pPr>
        <w:pStyle w:val="ListParagraph"/>
        <w:numPr>
          <w:ilvl w:val="0"/>
          <w:numId w:val="2"/>
        </w:numPr>
        <w:spacing w:after="80" w:line="360"/>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360"/>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360"/>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360"/>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360"/>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360"/>
        <w:jc w:val="both"/>
      </w:pPr>
      <w:r>
        <w:rPr>
          <w:rFonts w:ascii="Times New Roman" w:cs="Times New Roman" w:eastAsia="Times New Roman" w:hAnsi="Times New Roman"/>
          <w:sz w:val="24"/>
          <w:szCs w:val="24"/>
        </w:rPr>
        <w:t xml:space="preserve">This interim report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Report structure</w:t>
      </w:r>
    </w:p>
    <w:p>
      <w:pPr>
        <w:spacing w:after="160" w:line="360"/>
        <w:jc w:val="both"/>
      </w:pPr>
      <w:r>
        <w:rPr>
          <w:rFonts w:ascii="Times New Roman" w:cs="Times New Roman" w:eastAsia="Times New Roman" w:hAnsi="Times New Roman"/>
          <w:sz w:val="24"/>
          <w:szCs w:val="24"/>
        </w:rPr>
        <w:t xml:space="preserve">Chapter 2 surveys related work and isolates the gap. Chapter 3 details the methodology; Chapter 4 the system design; and Chapter 5 the experimental setup. Chapter 6 presents the results at headline depth, including the two corrections made during the project — a scorer-validity correction and a generation-budget re-run — as worked examples of the methodology catching its own artefacts. Chapter 7 discusses threats to validity and Chapter 8 records limitations. Chapter 9 summarises progress to date and the remaining work toward the final thesis,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360"/>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Closest to this report’s headline, Hong et al. [8] scrutinise trustworthiness across five compression methods and eight trust dimensions and find that four-bit quantization broadly preserves trustworthiness — unlike pruning, which degrades it, and unlike more extreme three-bit compression, where erosion appears — the nearest prior analogue to the null-safety-at-four-bit picture found here, though their study covers larger models and a different trust taxonomy.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360"/>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[9] measures the opposite failure mode, over-refusal on benign prompts. Holistic frameworks such as HELM [10] formalise the idea that evaluation should be multi-metric and transparent. This interim report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360"/>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[11], and critical studies show that judge scores can diverge systematically from human judgment, so judge-based results need validation and, ideally, human grounding [12]. This interim report follows that guidance (a primary classifier, a second independent judge, κ reporting, bootstrap confidence intervals) and adds a human-label validation on a stratified 200-item subset — a single-annotator gold set that was, until now, the one safeguard it lacked.</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360"/>
        <w:jc w:val="both"/>
      </w:pPr>
      <w:r>
        <w:rPr>
          <w:rFonts w:ascii="Times New Roman" w:cs="Times New Roman" w:eastAsia="Times New Roman" w:hAnsi="Times New Roman"/>
          <w:sz w:val="24"/>
          <w:szCs w:val="24"/>
        </w:rPr>
        <w:t xml:space="preserve">Three observations define the gap this interim report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[11], [12],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360"/>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interim report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360"/>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360"/>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360"/>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360"/>
        <w:jc w:val="both"/>
      </w:pPr>
      <w:r>
        <w:rPr>
          <w:rFonts w:ascii="Times New Roman" w:cs="Times New Roman" w:eastAsia="Times New Roman" w:hAnsi="Times New Roman"/>
          <w:sz w:val="24"/>
          <w:szCs w:val="24"/>
        </w:rPr>
        <w:t xml:space="preserve">Four benchmarks span the two axes of interest. Harmful compliance (HarmBench [3]) and over-refusal (XSTest [9]) capture safety; MMLU [13] and ARC-Challenge [14]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360"/>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interim report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360"/>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[11], [12]. A deterministic refusal regex is retained only as a secondary, transparent proxy. This choice is itself a research object: this report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360"/>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360"/>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[15] (2,000 resamples, seed 42), resampled by prompt identity so that both members of a pair see the same prompts in the same order. Every HarmBench contrast is tested with McNemar’s exact paired test [16];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360"/>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360"/>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360"/>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382 automated tests covers the schema, loaders, scorers, analysis mathematics, and the cluster job generator; a machine claim lock, run inside the suite, additionally asserts every load-bearing number in the report, thesis, and interim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360"/>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360"/>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382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360"/>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360"/>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(28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A stratified human-label audit (200 items, single annotator) confirms the direction against truth rather than against another model: the classifier agrees with a human annotator at Cohen’s κ 0.59 (moderate) while the regex agrees at only 0.11 (negligible) — against the human’s 200 labels the regex over-flagged 101 responses as harmful to the classifier’s 18, and the human, flagging 37, applied the highest bar of the three — so refusal-counting over-states harmful compliance relative to human judgment, not merely relative to the classifier; the classifier is a better scorer, though at moderate agreement, not a perfect human proxy.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360"/>
        <w:jc w:val="both"/>
      </w:pPr>
      <w:r>
        <w:rPr>
          <w:rFonts w:ascii="Times New Roman" w:cs="Times New Roman" w:eastAsia="Times New Roman" w:hAnsi="Times New Roman"/>
          <w:sz w:val="24"/>
          <w:szCs w:val="24"/>
        </w:rPr>
        <w:t xml:space="preserve">Under the primary classifier at the 512-token reference budget, no pair shows a significant increase in harmful compliance under NF4 quantization.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360"/>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−0.048, CI [−0.076, −0.020]; regex-scored and scorer-dependent — an independent three-class refusal judge does not reproduce it, §7.2), and Qwen3-1.7B’s decrease is non-significant on both criteria at the corrected over-refusal scoring (−0.024, CI [−0.048, 0.000], McNemar p = 0.109). No pair becomes significantly more prone to over-refusal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360"/>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360"/>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360"/>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[17].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360"/>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multiplicity-robust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128-era budget artefact — attributable, since Llama truncates at only 3–4 percent (§6.3), to cross-run greedy divergence on thin-margin prompts rather than to truncation —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360"/>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360"/>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(−0.048, q = 0.012, a decrease — regex-scored and scorer-dependent; an independent refusal judge does not reproduce it, §7.2). Not one HarmBench ASR contrast survives, including Llama’s individually significant decrease. The multiplicity-robust signal of four-bit NF4 is therefore capability degradation, plus one benign-direction over-refusal change, and never a safety regression. This is the study’s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360"/>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robustly survives multiplicity correction, the one over-refusal survivor being scorer-dependent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360"/>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360"/>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A stratified human-label audit (200 items, single annotator — the author — HarmBench rubric) now grounds this against truth: the classifier agrees with the human at Cohen’s κ 0.59 versus the regex’s 0.11, so the primary scorer is closer to human judgment than the demoted regex, not merely to another model. Two sampling caveats scope those figures symmetrically: the subset deliberately over-weights judge-vs-regex disagreement cases (roughly three times their population rate), so the κ values are a disagreement-enriched contrast rather than a population estimate; and the annotation view was capped at the first 2,000 characters of each response while the scorers saw the full text, which plausibly inflates measured disagreement, though the direction is not strictly identified, since a harmful-looking prefix followed by a benign completion cuts the other way. The residual is honestly bounded — κ 0.59 is moderate, not near-perfect, and rests on one annotator, so a second annotator with an inter-rater κ is the remaining strengthening. Over-refusal remains regex-scored, a known weaker construct: XSTest’s own protocol relies on LLM-based three-way labelling (full compliance / partial refusal / full refusal) rather than a released fine-tuned classifier, whereas this study deliberately substitutes a deterministic binary refusal regex — a reproducibility-motivated deviation that yields a coarser refusal / non-refusal reading — so the single over-refusal contrast that survives multiplicity correction (Phi-4-mini’s −0.048 decrease) is a reproducible non-refusal-rate change rather than a classifier-validated over-refusal shift. Run as a sensitivity check, an independent gpt-4o three-class refusal judge (XSTest’s own full-compliance / partial-refusal / full-refusal taxonomy) re-scored all 3,750 saved benign responses with zero parse failures, the regex kept primary, and did not reproduce that decrease: the direction reverses to ΔOR +0.016 under a strict full-refusal reading (McNemar p = 0.597) and sits at −0.004 under a broad partial-or-full reading (p = 1.000), both non-significant, and the two scorers disagree substantially (the judge counts about four times more refusals, mean over-refusal 0.171 strict versus regex 0.044; per-alias Cohen’s κ −0.01 to 0.50). The −0.048 survivor is therefore scorer-dependent, and a human-labelled refusal gold set remains the residual strengthening.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360"/>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360"/>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360"/>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360"/>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360"/>
      </w:pPr>
      <w:r>
        <w:rPr>
          <w:rFonts w:ascii="Times New Roman" w:cs="Times New Roman" w:eastAsia="Times New Roman" w:hAnsi="Times New Roman"/>
          <w:sz w:val="24"/>
          <w:szCs w:val="24"/>
        </w:rPr>
        <w:t xml:space="preserve">Judge grounding: the HarmBench classifier is now grounded against human labels on a stratified 200-item subset (classifier κ 0.59 vs regex 0.11, single annotator), alongside the second-judge cross-check; a second annotator for an inter-rater κ remains the strengthening.</w:t>
      </w:r>
    </w:p>
    <w:p>
      <w:pPr>
        <w:pStyle w:val="ListParagraph"/>
        <w:numPr>
          <w:ilvl w:val="0"/>
          <w:numId w:val="3"/>
        </w:numPr>
        <w:spacing w:after="80" w:line="360"/>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360"/>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are budget artefacts retained only as the generation-length comparison (Qwen3-1.7B NF4 +0.055 via truncation; Llama-3B INT8 +0.040 via cross-run greedy divergence, since Llama truncates at only 3–4 percent).</w:t>
      </w:r>
    </w:p>
    <w:p>
      <w:pPr>
        <w:pStyle w:val="ListParagraph"/>
        <w:numPr>
          <w:ilvl w:val="0"/>
          <w:numId w:val="3"/>
        </w:numPr>
        <w:spacing w:after="80" w:line="360"/>
      </w:pPr>
      <w:r>
        <w:rPr>
          <w:rFonts w:ascii="Times New Roman" w:cs="Times New Roman" w:eastAsia="Times New Roman" w:hAnsi="Times New Roman"/>
          <w:sz w:val="24"/>
          <w:szCs w:val="24"/>
        </w:rPr>
        <w:t xml:space="preserve">Generation stopping: the generation loop halts only on the tokenizer’s default end-of-sequence token, so responses can run past the model’s completed answer into synthetic follow-up turns (the model role-playing both sides of a dialogue), which skip_special_tokens decoding saves as a run-on. This is a decoding-configuration artefact: it inflates response length but is produced identically by both pair members, so it cancels in every matched-pair delta, and the full-response classifier still scores any harmful content a continuation might contain. Stopping at the chat turn-end token is a straightforward fix for future runs.</w:t>
      </w:r>
    </w:p>
    <w:p>
      <w:pPr>
        <w:pStyle w:val="ListParagraph"/>
        <w:numPr>
          <w:ilvl w:val="0"/>
          <w:numId w:val="3"/>
        </w:numPr>
        <w:spacing w:after="80" w:line="360"/>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Progress and Remaining Work</w:t>
      </w:r>
    </w:p>
    <w:p>
      <w:pPr>
        <w:pStyle w:val="Heading2"/>
        <w:spacing w:after="140" w:before="200"/>
      </w:pPr>
      <w:r>
        <w:rPr>
          <w:rFonts w:ascii="Times New Roman" w:cs="Times New Roman" w:eastAsia="Times New Roman" w:hAnsi="Times New Roman"/>
          <w:b/>
          <w:bCs/>
          <w:sz w:val="27"/>
          <w:szCs w:val="27"/>
        </w:rPr>
        <w:t xml:space="preserve">9.1  Progress to date</w:t>
      </w:r>
    </w:p>
    <w:p>
      <w:pPr>
        <w:spacing w:after="160" w:line="360"/>
        <w:jc w:val="both"/>
      </w:pPr>
      <w:r>
        <w:rPr>
          <w:rFonts w:ascii="Times New Roman" w:cs="Times New Roman" w:eastAsia="Times New Roman" w:hAnsi="Times New Roman"/>
          <w:sz w:val="24"/>
          <w:szCs w:val="24"/>
        </w:rPr>
        <w:t xml:space="preserve">The experimental programme is complete. All five matched pairs across four families (Qwen3-1.7B, Qwen3-4B, Llama-3.2-3B-Instruct, Mistral-7B-Instruct-v0.3, and Phi-4-mini-instruct) have been evaluated at three precisions (fp16, INT8, NF4) on all four benchmarks (HarmBench, XSTest, MMLU, and ARC-Challenge), at both HarmBench’s 512-token reference budget (the primary study) and an initial 128-token budget (retained as a controlled comparison), on the NTU TC1 GPU cluster. Harmful compliance has been scored by the official HarmBench classifier and cross-checked by a second, architecturally independent judge (GPT-4o) across all ten models, and a single-annotator human-label validation of 200 stratified responses has grounded the primary scorer against human judgment (classifier κ 0.59 versus regex 0.11). Three robustness arms are complete: a five-seed stochastic-decoding sensitivity arm (three pairs), a first-token refusal-margin mechanism probe, and the fp16 → INT8 → NF4 precision sweep. The analysis (matched-pair deltas, paired-bootstrap confidence intervals, McNemar exact tests, and Benjamini-Hochberg multiplicity control) is complete, and the supporting framework — matched-pair loading, a benchmark-plugin contract, a judge-validation layer, SLURM orchestration, 382 automated tests, and a machine claim lock that verifies every reported number against the committed artefacts — is implemented and released.</w:t>
      </w:r>
    </w:p>
    <w:p>
      <w:pPr>
        <w:spacing w:after="160" w:line="360"/>
        <w:jc w:val="both"/>
      </w:pPr>
      <w:r>
        <w:rPr>
          <w:rFonts w:ascii="Times New Roman" w:cs="Times New Roman" w:eastAsia="Times New Roman" w:hAnsi="Times New Roman"/>
          <w:sz w:val="24"/>
          <w:szCs w:val="24"/>
        </w:rPr>
        <w:t xml:space="preserve">Two of these steps were corrections rather than plan items, and Chapter 6 reports them as evidence of a self-checking methodology: the initial refusal-regex scorer was found to over-count harmful compliance and was demoted in favour of HarmBench’s own fine-tuned classifier, and the initial 128-token generation budget was found to have truncated the majority of responses and manufactured an apparent safety regression, prompting a full re-run of the entire study at HarmBench’s standardized 512-token budget. Both are documented rather than hidden, because the design’s ability to detect and correct its own artefacts is itself a result.</w:t>
      </w:r>
    </w:p>
    <w:p>
      <w:pPr>
        <w:pStyle w:val="Heading2"/>
        <w:spacing w:after="140" w:before="200"/>
      </w:pPr>
      <w:r>
        <w:rPr>
          <w:rFonts w:ascii="Times New Roman" w:cs="Times New Roman" w:eastAsia="Times New Roman" w:hAnsi="Times New Roman"/>
          <w:b/>
          <w:bCs/>
          <w:sz w:val="27"/>
          <w:szCs w:val="27"/>
        </w:rPr>
        <w:t xml:space="preserve">9.2  Remaining work toward the final thesis</w:t>
      </w:r>
    </w:p>
    <w:p>
      <w:pPr>
        <w:spacing w:after="160" w:line="360"/>
        <w:jc w:val="both"/>
      </w:pPr>
      <w:r>
        <w:rPr>
          <w:rFonts w:ascii="Times New Roman" w:cs="Times New Roman" w:eastAsia="Times New Roman" w:hAnsi="Times New Roman"/>
          <w:sz w:val="24"/>
          <w:szCs w:val="24"/>
        </w:rPr>
        <w:t xml:space="preserve">The study’s scientific claims are established and machine-locked; the remaining work is confirmatory and extensional, and is scoped for the final thesis. In rough order of priority:</w:t>
      </w:r>
    </w:p>
    <w:p>
      <w:pPr>
        <w:pStyle w:val="ListParagraph"/>
        <w:numPr>
          <w:ilvl w:val="0"/>
          <w:numId w:val="4"/>
        </w:numPr>
        <w:spacing w:after="80" w:line="360"/>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360"/>
      </w:pPr>
      <w:r>
        <w:rPr>
          <w:rFonts w:ascii="Times New Roman" w:cs="Times New Roman" w:eastAsia="Times New Roman" w:hAnsi="Times New Roman"/>
          <w:sz w:val="24"/>
          <w:szCs w:val="24"/>
        </w:rPr>
        <w:t xml:space="preserve">A second human annotator (inter-rater κ and adjudication of disagreements) extending the completed single-annotator human validation (classifier κ 0.59 vs regex 0.11 against human labels), and an open-weight guard model (e.g. Llama Guard [18]) for a fully reproducible cross-check.</w:t>
      </w:r>
    </w:p>
    <w:p>
      <w:pPr>
        <w:pStyle w:val="ListParagraph"/>
        <w:numPr>
          <w:ilvl w:val="0"/>
          <w:numId w:val="4"/>
        </w:numPr>
        <w:spacing w:after="80" w:line="360"/>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360"/>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360"/>
        <w:jc w:val="both"/>
      </w:pPr>
      <w:r>
        <w:rPr>
          <w:rFonts w:ascii="Times New Roman" w:cs="Times New Roman" w:eastAsia="Times New Roman" w:hAnsi="Times New Roman"/>
          <w:sz w:val="24"/>
          <w:szCs w:val="24"/>
        </w:rPr>
        <w:t xml:space="preserve">This interim report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none of the five pairs across four families shows a significant increase in harmful compliance under direct requests at four-bit NF4;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360"/>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IEEE Access, vol. 14, pp. 96771–96793, 2026, doi: 10.1109/ACCESS.2026.3703899. arXiv:2502.15799.</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J. Hong, J. Duan, C. Zhang, Z. Li, C. Xie, K. Lieberman, J. Diffenderfer, B. R. Bartoldson, A. K. Jaiswal, K. Xu, B. Kailkhura, D. Hendrycks, D. Song, Z. Wang, and B. Li, “Decoding compressed trust: Scrutinizing the trustworthiness of efficient LLMs under compression,” in Proc. International Conference on Machine Learning (ICML), PMLR vol. 235, 2024. arXiv:2403.15447.</w:t>
      </w:r>
    </w:p>
    <w:p>
      <w:pPr>
        <w:spacing w:after="90" w:line="264"/>
        <w:ind w:left="400" w:hanging="400"/>
      </w:pPr>
      <w:r>
        <w:rPr>
          <w:rFonts w:ascii="Times New Roman" w:cs="Times New Roman" w:eastAsia="Times New Roman" w:hAnsi="Times New Roman"/>
          <w:sz w:val="22"/>
          <w:szCs w:val="22"/>
        </w:rPr>
        <w:t xml:space="preserve">[9]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[10]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[11]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[12]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[13]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[14]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[15]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[16]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[17]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[18]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[19]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[20]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[21]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[22]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360"/>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[19]: models and algorithms are described (Chapters 3–4); datasets, splits, and sample counts are recorded in each run summary; code and declared dependencies are released; hyper-parameters and decoding controls are recorded in every summary; the compute infrastructure is recorded; and significance procedures are specified, with multiple comparisons disclosed. The dependency set is declared with minimum-version floors (a lockfile with exact pins is a future hardening step). The repository follows recognised research-software practice (scripts rather than manual steps, fixed seeds, explicit dependencies, and a documented project structure [20], [21]) and is packaged for reuse in line with open-source-software peer-review norms [22].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360"/>
        <w:jc w:val="both"/>
      </w:pPr>
      <w:r>
        <w:rPr>
          <w:rFonts w:ascii="Times New Roman" w:cs="Times New Roman" w:eastAsia="Times New Roman" w:hAnsi="Times New Roman"/>
          <w:sz w:val="24"/>
          <w:szCs w:val="24"/>
        </w:rPr>
        <w:t xml:space="preserve">The framework ships 382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interim report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1906" w:h="16838" w:orient="portrait"/>
      <w:pgMar w:top="1273" w:right="1273" w:bottom="1273" w:left="1273"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2026-07-16T03:04:45.985Z</dcterms:created>
  <dcterms:modified xsi:type="dcterms:W3CDTF">2026-07-16T03:04:45.985Z</dcterms:modified>
</cp:coreProperties>
</file>

<file path=docProps/custom.xml><?xml version="1.0" encoding="utf-8"?>
<Properties xmlns="http://schemas.openxmlformats.org/officeDocument/2006/custom-properties" xmlns:vt="http://schemas.openxmlformats.org/officeDocument/2006/docPropsVTypes"/>
</file>