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(§6.7).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 human-labelled refusal gold set remains the residual strengthening (results_512/analysis/xstest_judge_agreement.json).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is complete, and the supporting framework, automated verification suite, and artifact-derived claim registry are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2026-07-16T05:28:32.686Z</dcterms:created>
  <dcterms:modified xsi:type="dcterms:W3CDTF">2026-07-16T05:28:32.687Z</dcterms:modified>
</cp:coreProperties>
</file>

<file path=docProps/custom.xml><?xml version="1.0" encoding="utf-8"?>
<Properties xmlns="http://schemas.openxmlformats.org/officeDocument/2006/custom-properties" xmlns:vt="http://schemas.openxmlformats.org/officeDocument/2006/docPropsVTypes"/>
</file>