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strictly contains the classifier's),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and a power analysis converge independently on the same capability-driven reading.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DecodingTrust [2], and SafetyBench [3]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and AdvBench provide curated unsafe prompts and measure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two over-refusal decreases, Qwen3-1.7B (−0.028) and Phi-4-mini (−0.044).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Four of the five XSTest over-refusal deltas are non-significant or negative, and the two significant ones are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at the 512-token reference budget, the deltas whose bootstrap CI excludes zero (★) are Llama-3.2-3B ΔASR (−0.040, a decrease; McNemar p = 0.021 — the only significant ΔASR, and no pair shows a significant increase), Qwen3-1.7B ΔMMLU (−0.090), and the two over-refusal decreases Qwen3-1.7B (−0.028) and Phi-4-mini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deltas are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significantly (0.056 → 0.028, ΔOR = −0.028, significant).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the model publisher's recommended non-thinking setting (temperature 0.7, top-p 0.8)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(1/5 seeds significant, a directional non-null), and Llama has mean −0.024 with no positive seed (0/5), matching its significant safety-improving primary decrease. Across all three pairs no pair is robustly positive. Results are written to results_512/analysis/sensitivity_multiseed.json;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two over-refusal decreases, Qwen 1.7B (−0.028) and Phi-4-mini (−0.044).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three show no significant change in over-refusal and two move in the benign direction. Under the v2 scorer: Qwen3-1.7B ΔOR = −0.028 (0.056 → 0.028, significant), Qwen3-4B 0.000 (0.032 → 0.032, not significant), Llama 3B +0.016 (0.036 → 0.052, not significant), Mistral-7B +0.004 (0.004 → 0.008, not significant), and Phi-4-mini −0.044 (0.128 → 0.084, significant). The two significant over-refusal deltas (Qwen 1.7B and Phi)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two significant moves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two significant deltas are decreases).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significant)), and the two significant moves, Qwen3-1.7B (−0.028) and Phi-4-mini (−0.044),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two significant moves are reductions in false refusals (Qwen 1.7B and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[22], [23]. Two further residual caveats: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truncation-budget artefact of the same kind that inflated the Qwen-1.7B NF4 move (§6.16),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 artefact of that pair's truncated generations rather than a method-specific "INT8 erodes safety" effect.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[12] and Q-resafe [15]; that the effect is non-uniform, here depending on model size, family, and harm category, echoes the method- and attack-dependence those works and HarmLevelBench [14] report.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(53 checks);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2026-07-03T05:14:29.602Z</dcterms:created>
  <dcterms:modified xsi:type="dcterms:W3CDTF">2026-07-03T05:14:29.603Z</dcterms:modified>
</cp:coreProperties>
</file>

<file path=docProps/custom.xml><?xml version="1.0" encoding="utf-8"?>
<Properties xmlns="http://schemas.openxmlformats.org/officeDocument/2006/custom-properties" xmlns:vt="http://schemas.openxmlformats.org/officeDocument/2006/docPropsVTypes"/>
</file>