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itself scorer-dependent, since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11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339 tests pass on the current commit.</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339 tests passing)</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11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 scored by an identical protocol for both pair members and not subject to this format asymmetry — moves in the same (negative) direction (−0.009, not significant), corroborating the direction of the capability loss while indicating that its MMLU magnitude is partly parser-inflated.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 0.50),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are classifier- and human-anchored,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11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the one over-refusal survivor being scorer-dependent,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all ten NF4 aliases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slightly inflates the measured disagreement (the direction that makes the classifier's κ a lower bound, not the reverse).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over a representative population both scorers' agreement with the human would sit higher — the regex's 0.11 as much as the classifier's 0.59 — so the reported pair should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would be a complementary future check.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NF4 aliases).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56"/>
        <w:gridCol w:w="2256"/>
        <w:gridCol w:w="2256"/>
        <w:gridCol w:w="2258"/>
      </w:tblGrid>
      <w:tr>
        <w:trPr>
          <w:tblHeader/>
        </w:trPr>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258"/>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 ARC, which is immune to this asymmetry, corroborates the direction of the loss at a smaller magnitude.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 refusal-style judge for XSTest over-refusal has now been run as a sensitivity layer (§6.12, Result 6; gpt-4o, three-class taxonomy, 3,750 responses, zero parse failures), finding the one multiplicity-robust over-refusal contrast to be scorer-dependent —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Test Inventory</w:t>
      </w:r>
    </w:p>
    <w:p>
      <w:pPr>
        <w:spacing w:after="160" w:line="360"/>
        <w:jc w:val="both"/>
      </w:pPr>
      <w:r>
        <w:rPr>
          <w:rFonts w:ascii="Times New Roman" w:cs="Times New Roman" w:eastAsia="Times New Roman" w:hAnsi="Times New Roman"/>
          <w:sz w:val="22"/>
          <w:szCs w:val="22"/>
        </w:rPr>
        <w:t xml:space="preserve">The verification suite comprises 339 automated tests across twenty-six test files. The distribution is summarised in Table D.1; the test files are located under tests/ in the repository.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Twenty-six files; all passing on the current commit.</w:t>
            </w:r>
          </w:p>
        </w:tc>
      </w:tr>
    </w:tbl>
    <w:p>
      <w:pPr>
        <w:spacing w:after="120" w:line="360"/>
      </w:pPr>
      <w:r>
        <w:rPr>
          <w:rFonts w:ascii="Times New Roman" w:cs="Times New Roman" w:eastAsia="Times New Roman" w:hAnsi="Times New Roman"/>
          <w:sz w:val="18"/>
          <w:szCs w:val="18"/>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One optional methodological extension remains open and is carried in Chapter 9: adding a second independent judge (for example LlamaGuard or a frontier-model classifier with a strict yes/no rubric) to cross-check the HarmBench classifier itself. This is the one remaining construct-validity threat on the HarmBench metric (§7.4).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2026-07-12T16:16:49.061Z</dcterms:created>
  <dcterms:modified xsi:type="dcterms:W3CDTF">2026-07-12T16:16:49.062Z</dcterms:modified>
</cp:coreProperties>
</file>

<file path=docProps/custom.xml><?xml version="1.0" encoding="utf-8"?>
<Properties xmlns="http://schemas.openxmlformats.org/officeDocument/2006/custom-properties" xmlns:vt="http://schemas.openxmlformats.org/officeDocument/2006/docPropsVTypes"/>
</file>