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rPr>
          <w:rFonts w:ascii="Times New Roman" w:cs="Times New Roman" w:eastAsia="Times New Roman" w:hAnsi="Times New Roman"/>
          <w:sz w:val="24"/>
          <w:szCs w:val="24"/>
        </w:rPr>
        <w:t xml:space="preserve"> </w:t>
      </w:r>
    </w:p>
    <w:p>
      <w:pPr>
        <w:spacing w:after="60"/>
        <w:jc w:val="center"/>
      </w:pPr>
      <w:r>
        <w:rPr>
          <w:rFonts w:ascii="Times New Roman" w:cs="Times New Roman" w:eastAsia="Times New Roman" w:hAnsi="Times New Roman"/>
          <w:b/>
          <w:bCs/>
          <w:sz w:val="30"/>
          <w:szCs w:val="30"/>
        </w:rPr>
        <w:t xml:space="preserve">NANYANG TECHNOLOGICAL UNIVERSITY</w:t>
      </w:r>
    </w:p>
    <w:p>
      <w:pPr>
        <w:spacing w:after="560"/>
        <w:jc w:val="center"/>
      </w:pPr>
      <w:r>
        <w:rPr>
          <w:rFonts w:ascii="Times New Roman" w:cs="Times New Roman" w:eastAsia="Times New Roman" w:hAnsi="Times New Roman"/>
          <w:sz w:val="24"/>
          <w:szCs w:val="24"/>
        </w:rPr>
        <w:t xml:space="preserve">College of Computing and Data Science</w:t>
      </w:r>
    </w:p>
    <w:p>
      <w:pPr>
        <w:spacing w:after="60"/>
        <w:jc w:val="center"/>
      </w:pPr>
      <w:r>
        <w:rPr>
          <w:rFonts w:ascii="Times New Roman" w:cs="Times New Roman" w:eastAsia="Times New Roman" w:hAnsi="Times New Roman"/>
          <w:b/>
          <w:bCs/>
          <w:sz w:val="24"/>
          <w:szCs w:val="24"/>
        </w:rPr>
        <w:t xml:space="preserve">FINAL YEAR PROJECT</w:t>
      </w:r>
    </w:p>
    <w:p>
      <w:pPr>
        <w:spacing w:after="480"/>
        <w:jc w:val="center"/>
      </w:pPr>
      <w:r>
        <w:rPr>
          <w:rFonts w:ascii="Times New Roman" w:cs="Times New Roman" w:eastAsia="Times New Roman" w:hAnsi="Times New Roman"/>
          <w:b/>
          <w:bCs/>
          <w:sz w:val="28"/>
          <w:szCs w:val="28"/>
        </w:rPr>
        <w:t xml:space="preserve">Interim Report</w:t>
      </w:r>
    </w:p>
    <w:p>
      <w:pPr>
        <w:spacing w:after="100"/>
        <w:jc w:val="center"/>
      </w:pPr>
      <w:r>
        <w:rPr>
          <w:rFonts w:ascii="Times New Roman" w:cs="Times New Roman" w:eastAsia="Times New Roman" w:hAnsi="Times New Roman"/>
          <w:b/>
          <w:bCs/>
          <w:sz w:val="32"/>
          <w:szCs w:val="32"/>
        </w:rPr>
        <w:t xml:space="preserve">Benchmarking the Ethical Performance of Open-Source LLMs:</w:t>
      </w:r>
    </w:p>
    <w:p>
      <w:pPr>
        <w:spacing w:after="760"/>
        <w:jc w:val="center"/>
      </w:pPr>
      <w:r>
        <w:rPr>
          <w:rFonts w:ascii="Times New Roman" w:cs="Times New Roman" w:eastAsia="Times New Roman" w:hAnsi="Times New Roman"/>
          <w:b/>
          <w:bCs/>
          <w:sz w:val="28"/>
          <w:szCs w:val="28"/>
        </w:rPr>
        <w:t xml:space="preserve">A Matched-Pair, Judge-Validated Study of Safety, Capability Trade-offs in Quantized Compact Language Models (fp16 → INT8 → NF4)</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560"/>
        <w:jc w:val="center"/>
      </w:pPr>
      <w:r>
        <w:rPr>
          <w:rFonts w:ascii="Times New Roman" w:cs="Times New Roman" w:eastAsia="Times New Roman" w:hAnsi="Times New Roman"/>
          <w:sz w:val="22"/>
          <w:szCs w:val="22"/>
        </w:rPr>
        <w:t xml:space="preserve">Supervisor:  Dr. Zhang Jiehuang  (jiehuang.zhang@ntu.edu.sg)</w:t>
      </w:r>
    </w:p>
    <w:p>
      <w:pPr>
        <w:spacing w:after="80"/>
        <w:jc w:val="center"/>
      </w:pPr>
      <w:r>
        <w:rPr>
          <w:rFonts w:ascii="Times New Roman" w:cs="Times New Roman" w:eastAsia="Times New Roman" w:hAnsi="Times New Roman"/>
          <w:b/>
          <w:bCs/>
          <w:sz w:val="26"/>
          <w:szCs w:val="26"/>
        </w:rPr>
        <w:t xml:space="preserve">Interim Report · 10 July 2026</w:t>
      </w:r>
    </w:p>
    <w:p>
      <w:pPr>
        <w:spacing w:after="120"/>
        <w:jc w:val="center"/>
      </w:pPr>
      <w:r>
        <w:rPr>
          <w:rFonts w:ascii="Times New Roman" w:cs="Times New Roman" w:eastAsia="Times New Roman" w:hAnsi="Times New Roman"/>
          <w:i/>
          <w:iCs/>
          <w:color w:val="555555"/>
          <w:sz w:val="18"/>
          <w:szCs w:val="18"/>
        </w:rPr>
        <w:t xml:space="preserve">Five matched pairs / ten models / four families · three precisions · four benchmarks · HarmBench 512-token reference budget · 339 automated tests</w:t>
      </w:r>
    </w:p>
    <w:p>
      <w:r>
        <w:br w:type="page"/>
      </w:r>
    </w:p>
    <w:p>
      <w:pPr>
        <w:pStyle w:val="Heading1"/>
        <w:spacing w:after="200"/>
      </w:pPr>
      <w:r>
        <w:rPr>
          <w:rFonts w:ascii="Times New Roman" w:cs="Times New Roman" w:eastAsia="Times New Roman" w:hAnsi="Times New Roman"/>
          <w:b/>
          <w:bCs/>
          <w:sz w:val="32"/>
          <w:szCs w:val="32"/>
        </w:rPr>
        <w:t xml:space="preserve">Declaration of Originality</w:t>
      </w:r>
    </w:p>
    <w:p>
      <w:pPr>
        <w:spacing w:after="160" w:line="276"/>
        <w:jc w:val="both"/>
      </w:pPr>
      <w:r>
        <w:rPr>
          <w:rFonts w:ascii="Times New Roman" w:cs="Times New Roman" w:eastAsia="Times New Roman" w:hAnsi="Times New Roman"/>
          <w:sz w:val="24"/>
          <w:szCs w:val="24"/>
        </w:rPr>
        <w:t xml:space="preserve">I hereby declare that this Final Year Project interim report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interim report (its research design, experimental methodology, analysis, and interpretation) is the product of my own work, although I have received assistance on software implementation, language, and presentation as acknowledged herein.</w:t>
      </w:r>
    </w:p>
    <w:p>
      <w:pPr>
        <w:spacing w:after="160" w:line="276"/>
        <w:jc w:val="both"/>
      </w:pPr>
      <w:r>
        <w:rPr>
          <w:rFonts w:ascii="Times New Roman" w:cs="Times New Roman" w:eastAsia="Times New Roman" w:hAnsi="Times New Roman"/>
          <w:sz w:val="24"/>
          <w:szCs w:val="24"/>
        </w:rPr>
        <w:t xml:space="preserve">All experimental results reported in this interim report were produced by the open-source benchmarking framework described herein, executed on the NTU TC1 GPU cluster, and are reproducible from the committed configuration, source code, and redacted result artefacts. Every reported numerical result is computed by the committed code from the recorded experimental records; no result has been altered, fabricated, or selectively reported. Where the work of others has been used, it has been cited and referenced.</w:t>
      </w:r>
    </w:p>
    <w:p>
      <w:pPr>
        <w:spacing w:after="40" w:before="700"/>
      </w:pPr>
      <w:r>
        <w:rPr>
          <w:rFonts w:ascii="Times New Roman" w:cs="Times New Roman" w:eastAsia="Times New Roman" w:hAnsi="Times New Roman"/>
          <w:sz w:val="24"/>
          <w:szCs w:val="24"/>
        </w:rPr>
        <w:t xml:space="preserve">_______________________________</w:t>
      </w:r>
    </w:p>
    <w:p>
      <w:pPr>
        <w:spacing w:after="30" w:line="276"/>
        <w:jc w:val="left"/>
      </w:pPr>
      <w:r>
        <w:rPr>
          <w:rFonts w:ascii="Times New Roman" w:cs="Times New Roman" w:eastAsia="Times New Roman" w:hAnsi="Times New Roman"/>
          <w:sz w:val="24"/>
          <w:szCs w:val="24"/>
        </w:rPr>
        <w:t xml:space="preserve">Tan Uei Horng  (UTAN001)</w:t>
      </w:r>
    </w:p>
    <w:p>
      <w:pPr>
        <w:spacing w:after="30" w:line="276"/>
        <w:jc w:val="left"/>
      </w:pPr>
      <w:r>
        <w:rPr>
          <w:rFonts w:ascii="Times New Roman" w:cs="Times New Roman" w:eastAsia="Times New Roman" w:hAnsi="Times New Roman"/>
          <w:sz w:val="24"/>
          <w:szCs w:val="24"/>
        </w:rPr>
        <w:t xml:space="preserve">College of Computing and Data Science, Nanyang Technological University</w:t>
      </w:r>
    </w:p>
    <w:p>
      <w:pPr>
        <w:spacing w:after="30" w:line="276"/>
        <w:jc w:val="left"/>
      </w:pPr>
      <w:r>
        <w:rPr>
          <w:rFonts w:ascii="Times New Roman" w:cs="Times New Roman" w:eastAsia="Times New Roman" w:hAnsi="Times New Roman"/>
          <w:sz w:val="24"/>
          <w:szCs w:val="24"/>
        </w:rPr>
        <w:t xml:space="preserve">Date:  10 July 2026</w:t>
      </w:r>
    </w:p>
    <w:p>
      <w:r>
        <w:br w:type="page"/>
      </w:r>
    </w:p>
    <w:p>
      <w:pPr>
        <w:pStyle w:val="Heading1"/>
        <w:spacing w:after="200"/>
      </w:pPr>
      <w:r>
        <w:rPr>
          <w:rFonts w:ascii="Times New Roman" w:cs="Times New Roman" w:eastAsia="Times New Roman" w:hAnsi="Times New Roman"/>
          <w:b/>
          <w:bCs/>
          <w:sz w:val="32"/>
          <w:szCs w:val="32"/>
        </w:rPr>
        <w:t xml:space="preserve">Abstract</w:t>
      </w:r>
    </w:p>
    <w:p>
      <w:pPr>
        <w:spacing w:after="160" w:line="276"/>
        <w:jc w:val="both"/>
      </w:pPr>
      <w:r>
        <w:rPr>
          <w:rFonts w:ascii="Times New Roman" w:cs="Times New Roman" w:eastAsia="Times New Roman" w:hAnsi="Times New Roman"/>
          <w:sz w:val="24"/>
          <w:szCs w:val="24"/>
        </w:rPr>
        <w:t xml:space="preserve">Compact instruction-tuned language models in the one-to-seven-billion-parameter range are increasingly deployed on edge and consumer hardware, where quantization, most commonly four-bit, has become the de facto method for fitting them into available memory. Quantization is not behaviourally neutral: it can alter safety alignment, refusal calibration, and general capability. Yet reports disagree, and two measurement problems confound them: a brittle refusal-matching scorer can over-count "attack success," and the number of tokens a model is allowed to generate during evaluation can manufacture or hide a safety effect outright. This interim report asks whether the safety changes attributed to quantization are genuine alignment shifts or artefacts of capability loss, invalid scoring, or truncated generation.</w:t>
      </w:r>
    </w:p>
    <w:p>
      <w:pPr>
        <w:spacing w:after="160" w:line="276"/>
        <w:jc w:val="both"/>
      </w:pPr>
      <w:r>
        <w:rPr>
          <w:rFonts w:ascii="Times New Roman" w:cs="Times New Roman" w:eastAsia="Times New Roman" w:hAnsi="Times New Roman"/>
          <w:sz w:val="24"/>
          <w:szCs w:val="24"/>
        </w:rPr>
        <w:t xml:space="preserve">It contributes an open, reproducible benchmarking framework built around a matched-pair design (baseline and quantized members are loaded from identical weights, with quantization applied on the fly at load time) so that quantization is the sole experimental variable. Five model pairs across four families (Qwen3-1.7B, Qwen3-4B, Llama-3.2-3B-Instruct, Mistral-7B-Instruct-v0.3, and Phi-4-mini-instruct), spanning roughly 1.7 to 7.2 billion parameters, are evaluated across three precisions (fp16, INT8/LLM.int8, and NF4 four-bit) on four benchmarks: HarmBench (harmful compliance, Attack Success Rate), XSTest (over-refusal), and the MMLU and ARC-Challenge accuracy benchmarks (capability). Harmful compliance is scored by the official HarmBench classifier as the primary judge and cross-checked by a second, architecturally independent judge (GPT-4o); a refusal regex is retained only as a demoted, transparent proxy. Two scope controls apply throughout: the safety prompts are HarmBench's standard harmful behaviours presented directly, with no adversarial attack augmentation, so ASR measures harmful compliance under direct requests; and generation uses HarmBench's own standardized 512-token evaluation budget as the primary configuration, with an initial 128-token run retained as a controlled comparison. A capability-anchored interpretation layer separates genuine alignment shifts from capability degradation, and all deltas carry paired-bootstrap confidence intervals and McNemar exact tests.</w:t>
      </w:r>
    </w:p>
    <w:p>
      <w:pPr>
        <w:spacing w:after="160" w:line="276"/>
        <w:jc w:val="both"/>
      </w:pPr>
      <w:r>
        <w:rPr>
          <w:rFonts w:ascii="Times New Roman" w:cs="Times New Roman" w:eastAsia="Times New Roman" w:hAnsi="Times New Roman"/>
          <w:sz w:val="24"/>
          <w:szCs w:val="24"/>
        </w:rPr>
        <w:t xml:space="preserve">Three findings result. First, methodologically, the scorer and the generation budget each determine the conclusion. The refusal regex systematically over-counts harmful compliance (its harmful set is a near-strict superset of the classifier's; judge-versus-regex agreement is family-dependent, Cohen's κ 0.25 to 0.84). And the original 128-token budget had truncated 60.3 percent of generations mid-answer; this manufactured an apparent safety regression in the smallest model (Qwen3-1.7B, ΔASR = +0.055, then significant) that dissolves entirely at the reference budget (ΔASR = 0.000 under the classifier and +0.005 under the second judge, McNemar p = 1.000 under both). Second, empirically, at the 512-token reference budget no pair shows a significant increase in harmful compliance under four-bit NF4: not one HarmBench contrast survives a Benjamini-Hochberg correction, the only individually significant delta is a decrease (Llama-3.2-3B, −0.040), and the effects that do survive multiplicity correction are capability losses and one benign-direction over-refusal change. Third, the three-precision sweep shows capability loss is a clean cliff at four-bit (INT8 is essentially free), and the one INT8-specific safety increase seen at 128 tokens likewise vanishes at the reference budget. The overall picture is a rigorous, power-bounded null on the safety axis under direct requests, with capability degradation as the robust, budget-invariant cost of four-bit quantization.</w:t>
      </w:r>
    </w:p>
    <w:p>
      <w:pPr>
        <w:spacing w:after="160" w:line="276"/>
        <w:jc w:val="both"/>
      </w:pPr>
      <w:r>
        <w:rPr>
          <w:rFonts w:ascii="Times New Roman" w:cs="Times New Roman" w:eastAsia="Times New Roman" w:hAnsi="Times New Roman"/>
          <w:sz w:val="24"/>
          <w:szCs w:val="24"/>
        </w:rPr>
        <w:t xml:space="preserve">Status of this interim report. This report presents the project's completed methodology, system, experimental setup, and results, together with the corrections and re-runs made along the way (a scorer-validity correction and a generation-budget re-run, both documented in Chapter 6) and an explicit statement of remaining work. All experiments across the five matched pairs, three precisions, and four benchmarks are complete, as are the two-judge cross-check and a single-annotator human-label validation of the primary scorer; the outstanding items are a second human annotator for an inter-rater agreement figure and the final thesis write-up. The full-length treatment of every result arm is deferred to the final thesis; this interim report presents each at headline depth.</w:t>
      </w:r>
    </w:p>
    <w:p>
      <w:r>
        <w:br w:type="page"/>
      </w:r>
    </w:p>
    <w:p>
      <w:pPr>
        <w:pStyle w:val="Heading1"/>
        <w:spacing w:after="200"/>
      </w:pPr>
      <w:r>
        <w:rPr>
          <w:rFonts w:ascii="Times New Roman" w:cs="Times New Roman" w:eastAsia="Times New Roman" w:hAnsi="Times New Roman"/>
          <w:b/>
          <w:bCs/>
          <w:sz w:val="32"/>
          <w:szCs w:val="32"/>
        </w:rPr>
        <w:t xml:space="preserve">Acknowledgements</w:t>
      </w:r>
    </w:p>
    <w:p>
      <w:pPr>
        <w:spacing w:after="160" w:line="276"/>
        <w:jc w:val="both"/>
      </w:pPr>
      <w:r>
        <w:rPr>
          <w:rFonts w:ascii="Times New Roman" w:cs="Times New Roman" w:eastAsia="Times New Roman" w:hAnsi="Times New Roman"/>
          <w:sz w:val="24"/>
          <w:szCs w:val="24"/>
        </w:rPr>
        <w:t xml:space="preserve">I am grateful to my supervisor, Dr. Zhang Jiehuang, for guidance, feedback, and direction throughout this Final Year Project. I thank the NTU College of Computing and Data Science for access to the TC1 GPU cluster, on which all experiments were run. This work builds upon a large body of open-source artefacts, and I acknowledge the maintainers of the Hugging Face transformers and bitsandbytes libraries; the authors of the HarmBench, XSTest, MMLU, and ARC-Challenge benchmarks and of the official HarmBench classifier; and the broader open evaluation community, whose tools and datasets made this study possible.</w:t>
      </w:r>
    </w:p>
    <w:p>
      <w:r>
        <w:br w:type="page"/>
      </w:r>
    </w:p>
    <w:p>
      <w:pPr>
        <w:pStyle w:val="Heading1"/>
        <w:spacing w:after="200"/>
      </w:pPr>
      <w:r>
        <w:rPr>
          <w:rFonts w:ascii="Times New Roman" w:cs="Times New Roman" w:eastAsia="Times New Roman" w:hAnsi="Times New Roman"/>
          <w:b/>
          <w:bCs/>
          <w:sz w:val="32"/>
          <w:szCs w:val="32"/>
        </w:rPr>
        <w:t xml:space="preserve">Declaration on the Use of Generative AI Tools</w:t>
      </w:r>
    </w:p>
    <w:p>
      <w:pPr>
        <w:spacing w:after="160" w:line="276"/>
        <w:jc w:val="both"/>
      </w:pPr>
      <w:r>
        <w:rPr>
          <w:rFonts w:ascii="Times New Roman" w:cs="Times New Roman" w:eastAsia="Times New Roman" w:hAnsi="Times New Roman"/>
          <w:sz w:val="24"/>
          <w:szCs w:val="24"/>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during this project to assist with software implementation, automated test authoring, analysis scripting, documentation, and language editing.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pPr>
      <w:r>
        <w:rPr>
          <w:rFonts w:ascii="Times New Roman" w:cs="Times New Roman" w:eastAsia="Times New Roman" w:hAnsi="Times New Roman"/>
          <w:b/>
          <w:bCs/>
          <w:sz w:val="32"/>
          <w:szCs w:val="32"/>
        </w:rPr>
        <w:t xml:space="preserve">List of Tables and Figures</w:t>
      </w:r>
    </w:p>
    <w:p>
      <w:pPr>
        <w:spacing w:after="60" w:line="276"/>
        <w:jc w:val="left"/>
      </w:pPr>
      <w:r>
        <w:rPr>
          <w:rFonts w:ascii="Times New Roman" w:cs="Times New Roman" w:eastAsia="Times New Roman" w:hAnsi="Times New Roman"/>
          <w:sz w:val="24"/>
          <w:szCs w:val="24"/>
        </w:rPr>
        <w:t xml:space="preserve">Table 3.1  Model pairs, families, and parameter scales.</w:t>
      </w:r>
    </w:p>
    <w:p>
      <w:pPr>
        <w:spacing w:after="60" w:line="276"/>
        <w:jc w:val="left"/>
      </w:pPr>
      <w:r>
        <w:rPr>
          <w:rFonts w:ascii="Times New Roman" w:cs="Times New Roman" w:eastAsia="Times New Roman" w:hAnsi="Times New Roman"/>
          <w:sz w:val="24"/>
          <w:szCs w:val="24"/>
        </w:rPr>
        <w:t xml:space="preserve">Table 3.2  Benchmarks, primary metrics, and sample budgets.</w:t>
      </w:r>
    </w:p>
    <w:p>
      <w:pPr>
        <w:spacing w:after="60" w:line="276"/>
        <w:jc w:val="left"/>
      </w:pPr>
      <w:r>
        <w:rPr>
          <w:rFonts w:ascii="Times New Roman" w:cs="Times New Roman" w:eastAsia="Times New Roman" w:hAnsi="Times New Roman"/>
          <w:sz w:val="24"/>
          <w:szCs w:val="24"/>
        </w:rPr>
        <w:t xml:space="preserve">Table 3.3  Interpretation labels derived from combined deltas.</w:t>
      </w:r>
    </w:p>
    <w:p>
      <w:pPr>
        <w:spacing w:after="60" w:line="276"/>
        <w:jc w:val="left"/>
      </w:pPr>
      <w:r>
        <w:rPr>
          <w:rFonts w:ascii="Times New Roman" w:cs="Times New Roman" w:eastAsia="Times New Roman" w:hAnsi="Times New Roman"/>
          <w:sz w:val="24"/>
          <w:szCs w:val="24"/>
        </w:rPr>
        <w:t xml:space="preserve">Table 5.1  Experimental configuration summary.</w:t>
      </w:r>
    </w:p>
    <w:p>
      <w:pPr>
        <w:spacing w:after="60" w:line="276"/>
        <w:jc w:val="left"/>
      </w:pPr>
      <w:r>
        <w:rPr>
          <w:rFonts w:ascii="Times New Roman" w:cs="Times New Roman" w:eastAsia="Times New Roman" w:hAnsi="Times New Roman"/>
          <w:sz w:val="24"/>
          <w:szCs w:val="24"/>
        </w:rPr>
        <w:t xml:space="preserve">Table 6.1  Judge-versus-regex agreement (Cohen's κ) by model family.</w:t>
      </w:r>
    </w:p>
    <w:p>
      <w:pPr>
        <w:spacing w:after="60" w:line="276"/>
        <w:jc w:val="left"/>
      </w:pPr>
      <w:r>
        <w:rPr>
          <w:rFonts w:ascii="Times New Roman" w:cs="Times New Roman" w:eastAsia="Times New Roman" w:hAnsi="Times New Roman"/>
          <w:sz w:val="24"/>
          <w:szCs w:val="24"/>
        </w:rPr>
        <w:t xml:space="preserve">Table 6.2  Main study at the 512-token reference budget: per-pair deltas and labels (fp16 vs NF4).</w:t>
      </w:r>
    </w:p>
    <w:p>
      <w:pPr>
        <w:spacing w:after="60" w:line="276"/>
        <w:jc w:val="left"/>
      </w:pPr>
      <w:r>
        <w:rPr>
          <w:rFonts w:ascii="Times New Roman" w:cs="Times New Roman" w:eastAsia="Times New Roman" w:hAnsi="Times New Roman"/>
          <w:sz w:val="24"/>
          <w:szCs w:val="24"/>
        </w:rPr>
        <w:t xml:space="preserve">Table 6.3  Precision sweep: HarmBench ASR at fp16 / INT8 / NF4 (judge).</w:t>
      </w:r>
    </w:p>
    <w:p>
      <w:pPr>
        <w:spacing w:after="60" w:line="276"/>
        <w:jc w:val="left"/>
      </w:pPr>
      <w:r>
        <w:rPr>
          <w:rFonts w:ascii="Times New Roman" w:cs="Times New Roman" w:eastAsia="Times New Roman" w:hAnsi="Times New Roman"/>
          <w:sz w:val="24"/>
          <w:szCs w:val="24"/>
        </w:rPr>
        <w:t xml:space="preserve">Figure 1  Scorer validation: judge ASR vs regex proxy, and judge-vs-proxy Cohen's κ.</w:t>
      </w:r>
    </w:p>
    <w:p>
      <w:pPr>
        <w:spacing w:after="60" w:line="276"/>
        <w:jc w:val="left"/>
      </w:pPr>
      <w:r>
        <w:rPr>
          <w:rFonts w:ascii="Times New Roman" w:cs="Times New Roman" w:eastAsia="Times New Roman" w:hAnsi="Times New Roman"/>
          <w:sz w:val="24"/>
          <w:szCs w:val="24"/>
        </w:rPr>
        <w:t xml:space="preserve">Figure 2  The capability-anchored safety space (ΔMMLU vs judge ΔASR, with label regions).</w:t>
      </w:r>
    </w:p>
    <w:p>
      <w:pPr>
        <w:spacing w:after="60" w:line="276"/>
        <w:jc w:val="left"/>
      </w:pPr>
      <w:r>
        <w:rPr>
          <w:rFonts w:ascii="Times New Roman" w:cs="Times New Roman" w:eastAsia="Times New Roman" w:hAnsi="Times New Roman"/>
          <w:sz w:val="24"/>
          <w:szCs w:val="24"/>
        </w:rPr>
        <w:t xml:space="preserve">Figure 3  Precision sweep fp16 → INT8 → NF4 (HarmBench ASR, MMLU, ARC).</w:t>
      </w:r>
    </w:p>
    <w:p>
      <w:r>
        <w:br w:type="page"/>
      </w:r>
    </w:p>
    <w:p>
      <w:pPr>
        <w:pStyle w:val="Heading1"/>
        <w:pageBreakBefore/>
        <w:spacing w:after="200"/>
      </w:pPr>
      <w:r>
        <w:rPr>
          <w:rFonts w:ascii="Times New Roman" w:cs="Times New Roman" w:eastAsia="Times New Roman" w:hAnsi="Times New Roman"/>
          <w:b/>
          <w:bCs/>
          <w:sz w:val="32"/>
          <w:szCs w:val="32"/>
        </w:rPr>
        <w:t xml:space="preserve">Chapter 1  Introduction</w:t>
      </w:r>
    </w:p>
    <w:p>
      <w:pPr>
        <w:pStyle w:val="Heading2"/>
        <w:spacing w:after="140" w:before="200"/>
      </w:pPr>
      <w:r>
        <w:rPr>
          <w:rFonts w:ascii="Times New Roman" w:cs="Times New Roman" w:eastAsia="Times New Roman" w:hAnsi="Times New Roman"/>
          <w:b/>
          <w:bCs/>
          <w:sz w:val="27"/>
          <w:szCs w:val="27"/>
        </w:rPr>
        <w:t xml:space="preserve">1.1  Motivation</w:t>
      </w:r>
    </w:p>
    <w:p>
      <w:pPr>
        <w:spacing w:after="160" w:line="276"/>
        <w:jc w:val="both"/>
      </w:pPr>
      <w:r>
        <w:rPr>
          <w:rFonts w:ascii="Times New Roman" w:cs="Times New Roman" w:eastAsia="Times New Roman" w:hAnsi="Times New Roman"/>
          <w:sz w:val="24"/>
          <w:szCs w:val="24"/>
        </w:rPr>
        <w:t xml:space="preserve">Large language models (LLMs) are increasingly deployed not in data centres but on laptops, phones, and embedded devices, where memory is scarce. The dominant enabler of this shift is quantization: representing model weights in eight, four, or fewer bits instead of sixteen, often halving or quartering the memory footprint at a small, well-studied cost to task accuracy [1], [2]. For compact models in the one-to-seven-billion-parameter range (the models most likely to run locally), four-bit quantization has become routine.</w:t>
      </w:r>
    </w:p>
    <w:p>
      <w:pPr>
        <w:spacing w:after="160" w:line="276"/>
        <w:jc w:val="both"/>
      </w:pPr>
      <w:r>
        <w:rPr>
          <w:rFonts w:ascii="Times New Roman" w:cs="Times New Roman" w:eastAsia="Times New Roman" w:hAnsi="Times New Roman"/>
          <w:sz w:val="24"/>
          <w:szCs w:val="24"/>
        </w:rPr>
        <w:t xml:space="preserve">Accuracy, however, is not the only property that matters. Instruction-tuned models are also aligned: trained to refuse harmful requests and to answer benign ones. Whether quantization preserves this alignment is far less understood than whether it preserves accuracy, and the stakes are higher, because a locally deployed model runs outside any server-side safety filter. If compressing a model to fit a phone quietly makes it more willing to produce harmful content, that is a deployment-relevant safety regression that current accuracy-centric evaluation would miss.</w:t>
      </w:r>
    </w:p>
    <w:p>
      <w:pPr>
        <w:pStyle w:val="Heading2"/>
        <w:spacing w:after="140" w:before="200"/>
      </w:pPr>
      <w:r>
        <w:rPr>
          <w:rFonts w:ascii="Times New Roman" w:cs="Times New Roman" w:eastAsia="Times New Roman" w:hAnsi="Times New Roman"/>
          <w:b/>
          <w:bCs/>
          <w:sz w:val="27"/>
          <w:szCs w:val="27"/>
        </w:rPr>
        <w:t xml:space="preserve">1.2  Problem statement</w:t>
      </w:r>
    </w:p>
    <w:p>
      <w:pPr>
        <w:spacing w:after="160" w:line="276"/>
        <w:jc w:val="both"/>
      </w:pPr>
      <w:r>
        <w:rPr>
          <w:rFonts w:ascii="Times New Roman" w:cs="Times New Roman" w:eastAsia="Times New Roman" w:hAnsi="Times New Roman"/>
          <w:sz w:val="24"/>
          <w:szCs w:val="24"/>
        </w:rPr>
        <w:t xml:space="preserve">Three difficulties make this question hard to answer credibly. The first is confounding: a quantized model can differ from a full-precision one for reasons that have nothing to do with quantization: a different published checkpoint, different decoding settings, or simply the noise of generation. The second is measurement: harmful compliance is usually scored by pattern-matching for refusals, equating "did not refuse" with "attack succeeded." Many non-refusals are not actually harmful (vague deflections, safety lectures, on-topic but benign answers), so a refusal-counting scorer can over-state harmful compliance and, worse, do so unevenly across models. The third is the generation budget: the number of tokens a model may generate during evaluation changes the measured attack-success rate drastically (the HarmBench authors show swings of up to 30 percent and standardize the budget to 512 tokens for exactly this reason [3]); a truncated budget scores incomplete answers, and where the cut falls can flip a label in either direction. A study that does not control confounding, scoring validity, and the generation budget cannot distinguish a genuine alignment shift from a capability, scoring, or truncation artefact.</w:t>
      </w:r>
    </w:p>
    <w:p>
      <w:pPr>
        <w:pStyle w:val="Heading2"/>
        <w:spacing w:after="140" w:before="200"/>
      </w:pPr>
      <w:r>
        <w:rPr>
          <w:rFonts w:ascii="Times New Roman" w:cs="Times New Roman" w:eastAsia="Times New Roman" w:hAnsi="Times New Roman"/>
          <w:b/>
          <w:bCs/>
          <w:sz w:val="27"/>
          <w:szCs w:val="27"/>
        </w:rPr>
        <w:t xml:space="preserve">1.3  Research questions</w:t>
      </w:r>
    </w:p>
    <w:p>
      <w:pPr>
        <w:spacing w:after="160" w:line="276"/>
        <w:jc w:val="both"/>
      </w:pPr>
      <w:r>
        <w:rPr>
          <w:rFonts w:ascii="Times New Roman" w:cs="Times New Roman" w:eastAsia="Times New Roman" w:hAnsi="Times New Roman"/>
          <w:sz w:val="24"/>
          <w:szCs w:val="24"/>
        </w:rPr>
        <w:t xml:space="preserve">This interim report is organised around five research questions:</w:t>
      </w:r>
    </w:p>
    <w:p>
      <w:pPr>
        <w:pStyle w:val="ListParagraph"/>
        <w:numPr>
          <w:ilvl w:val="0"/>
          <w:numId w:val="2"/>
        </w:numPr>
        <w:spacing w:after="80" w:line="276"/>
      </w:pPr>
      <w:r>
        <w:rPr>
          <w:rFonts w:ascii="Times New Roman" w:cs="Times New Roman" w:eastAsia="Times New Roman" w:hAnsi="Times New Roman"/>
          <w:sz w:val="24"/>
          <w:szCs w:val="24"/>
        </w:rPr>
        <w:t xml:space="preserve">RQ1: Does quantization increase harmful compliance in compact instruction-tuned LLMs?</w:t>
      </w:r>
    </w:p>
    <w:p>
      <w:pPr>
        <w:pStyle w:val="ListParagraph"/>
        <w:numPr>
          <w:ilvl w:val="0"/>
          <w:numId w:val="2"/>
        </w:numPr>
        <w:spacing w:after="80" w:line="276"/>
      </w:pPr>
      <w:r>
        <w:rPr>
          <w:rFonts w:ascii="Times New Roman" w:cs="Times New Roman" w:eastAsia="Times New Roman" w:hAnsi="Times New Roman"/>
          <w:sz w:val="24"/>
          <w:szCs w:val="24"/>
        </w:rPr>
        <w:t xml:space="preserve">RQ2: Does quantization increase over-refusal on benign prompts?</w:t>
      </w:r>
    </w:p>
    <w:p>
      <w:pPr>
        <w:pStyle w:val="ListParagraph"/>
        <w:numPr>
          <w:ilvl w:val="0"/>
          <w:numId w:val="2"/>
        </w:numPr>
        <w:spacing w:after="80" w:line="276"/>
      </w:pPr>
      <w:r>
        <w:rPr>
          <w:rFonts w:ascii="Times New Roman" w:cs="Times New Roman" w:eastAsia="Times New Roman" w:hAnsi="Times New Roman"/>
          <w:sz w:val="24"/>
          <w:szCs w:val="24"/>
        </w:rPr>
        <w:t xml:space="preserve">RQ3: Does quantization degrade general capability?</w:t>
      </w:r>
    </w:p>
    <w:p>
      <w:pPr>
        <w:pStyle w:val="ListParagraph"/>
        <w:numPr>
          <w:ilvl w:val="0"/>
          <w:numId w:val="2"/>
        </w:numPr>
        <w:spacing w:after="80" w:line="276"/>
      </w:pPr>
      <w:r>
        <w:rPr>
          <w:rFonts w:ascii="Times New Roman" w:cs="Times New Roman" w:eastAsia="Times New Roman" w:hAnsi="Times New Roman"/>
          <w:sz w:val="24"/>
          <w:szCs w:val="24"/>
        </w:rPr>
        <w:t xml:space="preserve">RQ4: Within a family, are smaller models more sensitive than larger ones?</w:t>
      </w:r>
    </w:p>
    <w:p>
      <w:pPr>
        <w:pStyle w:val="ListParagraph"/>
        <w:numPr>
          <w:ilvl w:val="0"/>
          <w:numId w:val="2"/>
        </w:numPr>
        <w:spacing w:after="80" w:line="276"/>
      </w:pPr>
      <w:r>
        <w:rPr>
          <w:rFonts w:ascii="Times New Roman" w:cs="Times New Roman" w:eastAsia="Times New Roman" w:hAnsi="Times New Roman"/>
          <w:sz w:val="24"/>
          <w:szCs w:val="24"/>
        </w:rPr>
        <w:t xml:space="preserve">RQ5: Are the effects consistent across model families and across quantization precisions?</w:t>
      </w:r>
    </w:p>
    <w:p>
      <w:pPr>
        <w:pStyle w:val="Heading2"/>
        <w:spacing w:after="140" w:before="200"/>
      </w:pPr>
      <w:r>
        <w:rPr>
          <w:rFonts w:ascii="Times New Roman" w:cs="Times New Roman" w:eastAsia="Times New Roman" w:hAnsi="Times New Roman"/>
          <w:b/>
          <w:bCs/>
          <w:sz w:val="27"/>
          <w:szCs w:val="27"/>
        </w:rPr>
        <w:t xml:space="preserve">1.4  Contributions</w:t>
      </w:r>
    </w:p>
    <w:p>
      <w:pPr>
        <w:spacing w:after="160" w:line="276"/>
        <w:jc w:val="both"/>
      </w:pPr>
      <w:r>
        <w:rPr>
          <w:rFonts w:ascii="Times New Roman" w:cs="Times New Roman" w:eastAsia="Times New Roman" w:hAnsi="Times New Roman"/>
          <w:sz w:val="24"/>
          <w:szCs w:val="24"/>
        </w:rPr>
        <w:t xml:space="preserve">This interim report makes five contributions, and the first two have consequences beyond this study. One is a scorer-validity result: a refusal-counting scorer systematically over-counts attack success (its harmful set is a near-strict superset of the benchmark classifier's), and adopting HarmBench's own classifier, cross-checked by a second independent judge, changes the study's conclusion. The other is a generation-budget result: the original 128-token budget truncated 60.3 percent of generations and thereby manufactured a statistically significant safety regression that does not exist at HarmBench's standardized 512-token budget; safety evaluations that truncate generations can report effects that are artefacts of where the cut falls. The third contribution is methodological: a controlled, capability-anchored, judge-validated procedure at the benchmark's own reference budget that isolates quantization (matched-pair, on-the-fly) and distinguishes genuine alignment shifts from capability degradation. The fourth is empirical: across five matched pairs, four families, three precisions, and two generation budgets, the multiplicity-robust cost of four-bit quantization is capability loss; harmful compliance under direct requests never rises significantly in any pair at the reference budget. The fifth is an engineering one: an open, reproducible, extensible framework (matched-pair loading, a benchmark-plugin contract, a judge-validation layer, cluster orchestration, and a machine claim lock that verifies every reported number against the committed artefacts) that others can reuse for their own quantization-safety studies.</w:t>
      </w:r>
    </w:p>
    <w:p>
      <w:pPr>
        <w:pStyle w:val="Heading2"/>
        <w:spacing w:after="140" w:before="200"/>
      </w:pPr>
      <w:r>
        <w:rPr>
          <w:rFonts w:ascii="Times New Roman" w:cs="Times New Roman" w:eastAsia="Times New Roman" w:hAnsi="Times New Roman"/>
          <w:b/>
          <w:bCs/>
          <w:sz w:val="27"/>
          <w:szCs w:val="27"/>
        </w:rPr>
        <w:t xml:space="preserve">1.5  Report structure</w:t>
      </w:r>
    </w:p>
    <w:p>
      <w:pPr>
        <w:spacing w:after="160" w:line="276"/>
        <w:jc w:val="both"/>
      </w:pPr>
      <w:r>
        <w:rPr>
          <w:rFonts w:ascii="Times New Roman" w:cs="Times New Roman" w:eastAsia="Times New Roman" w:hAnsi="Times New Roman"/>
          <w:sz w:val="24"/>
          <w:szCs w:val="24"/>
        </w:rPr>
        <w:t xml:space="preserve">Chapter 2 surveys related work and isolates the gap. Chapter 3 details the methodology; Chapter 4 the system design; and Chapter 5 the experimental setup. Chapter 6 presents the results at headline depth, including the two corrections made during the project, a scorer-validity correction and a generation-budget re-run, as worked examples of the methodology catching its own artefacts. Chapter 7 discusses threats to validity and Chapter 8 records limitations. Chapter 9 summarises progress to date and the remaining work toward the final thesis, and Chapter 10 concludes. A reproducibility statement and appendices follow.</w:t>
      </w:r>
    </w:p>
    <w:p>
      <w:pPr>
        <w:pStyle w:val="Heading1"/>
        <w:pageBreakBefore/>
        <w:spacing w:after="200"/>
      </w:pPr>
      <w:r>
        <w:rPr>
          <w:rFonts w:ascii="Times New Roman" w:cs="Times New Roman" w:eastAsia="Times New Roman" w:hAnsi="Times New Roman"/>
          <w:b/>
          <w:bCs/>
          <w:sz w:val="32"/>
          <w:szCs w:val="32"/>
        </w:rPr>
        <w:t xml:space="preserve">Chapter 2  Background and Related Work</w:t>
      </w:r>
    </w:p>
    <w:p>
      <w:pPr>
        <w:pStyle w:val="Heading2"/>
        <w:spacing w:after="140" w:before="200"/>
      </w:pPr>
      <w:r>
        <w:rPr>
          <w:rFonts w:ascii="Times New Roman" w:cs="Times New Roman" w:eastAsia="Times New Roman" w:hAnsi="Times New Roman"/>
          <w:b/>
          <w:bCs/>
          <w:sz w:val="27"/>
          <w:szCs w:val="27"/>
        </w:rPr>
        <w:t xml:space="preserve">2.1  Quantization and its behavioural effects</w:t>
      </w:r>
    </w:p>
    <w:p>
      <w:pPr>
        <w:spacing w:after="160" w:line="276"/>
        <w:jc w:val="both"/>
      </w:pPr>
      <w:r>
        <w:rPr>
          <w:rFonts w:ascii="Times New Roman" w:cs="Times New Roman" w:eastAsia="Times New Roman" w:hAnsi="Times New Roman"/>
          <w:sz w:val="24"/>
          <w:szCs w:val="24"/>
        </w:rPr>
        <w:t xml:space="preserve">Post-training quantization compresses model weights to lower-precision formats. The bitsandbytes library provides two widely used schemes evaluated here: NF4, a four-bit "normal-float" format with double quantization [2], and LLM.int8(), an eight-bit mixed-precision scheme that keeps outlier dimensions in higher precision [1]. While the accuracy cost of these methods is well characterised, their effect on safety behaviour is contested. Empirical studies report mixed and method-dependent results: some find that quantization can degrade safety alignment, with effects that vary by method and attack type [4], [5]; a comprehensive multi-benchmark evaluation finds headline scores largely retained at four bits while cautioning that narrow evaluations can miss shifts on other behavioural dimensions [6]; and some show that quantization can be actively exploited to surface unsafe behaviour [7]. Closest to this report's own result, a broad trustworthiness study across several compression methods and trust dimensions finds that four-bit quantization broadly preserves trust, where pruning erodes it and clear degradation appears only at a more extreme three bits [8]; that study covers larger models and a different trust taxonomy, but it is the nearest prior analogue to the null-safety-at-four-bit picture found here. This very inconsistency motivates a controlled, matched-pair design rather than cross-paper comparison, and it cautions against strong, uniform claims.</w:t>
      </w:r>
    </w:p>
    <w:p>
      <w:pPr>
        <w:pStyle w:val="Heading2"/>
        <w:spacing w:after="140" w:before="200"/>
      </w:pPr>
      <w:r>
        <w:rPr>
          <w:rFonts w:ascii="Times New Roman" w:cs="Times New Roman" w:eastAsia="Times New Roman" w:hAnsi="Times New Roman"/>
          <w:b/>
          <w:bCs/>
          <w:sz w:val="27"/>
          <w:szCs w:val="27"/>
        </w:rPr>
        <w:t xml:space="preserve">2.2  Safety benchmarks and red-teaming</w:t>
      </w:r>
    </w:p>
    <w:p>
      <w:pPr>
        <w:spacing w:after="160" w:line="276"/>
        <w:jc w:val="both"/>
      </w:pPr>
      <w:r>
        <w:rPr>
          <w:rFonts w:ascii="Times New Roman" w:cs="Times New Roman" w:eastAsia="Times New Roman" w:hAnsi="Times New Roman"/>
          <w:sz w:val="24"/>
          <w:szCs w:val="24"/>
        </w:rPr>
        <w:t xml:space="preserve">HarmBench [3] provides a standardised red-teaming benchmark with an explicit behaviour taxonomy and a fine-tuned classifier that scores whether a response actually exhibits the harmful behaviour, a deliberate move away from refusal-string matching. XSTest [9] measures the opposite failure mode, over-refusal on benign prompts. Holistic frameworks such as HELM [10] formalise the idea that evaluation should be multi-metric and transparent. This interim report adopts HarmBench's classifier-as-scorer principle [3] as its primary instrument and treats refusal-matching only as a foil. One scope boundary is stated at the outset: HarmBench is a red-teaming framework whose full pipeline applies optimisation-based and LLM-mediated attacks; this study evaluates its standard harmful behaviours presented directly, with no attack augmentation, so its safety axis measures harmful compliance under direct requests, the weakest threat model in the HarmBench taxonomy.</w:t>
      </w:r>
    </w:p>
    <w:p>
      <w:pPr>
        <w:pStyle w:val="Heading2"/>
        <w:spacing w:after="140" w:before="200"/>
      </w:pPr>
      <w:r>
        <w:rPr>
          <w:rFonts w:ascii="Times New Roman" w:cs="Times New Roman" w:eastAsia="Times New Roman" w:hAnsi="Times New Roman"/>
          <w:b/>
          <w:bCs/>
          <w:sz w:val="27"/>
          <w:szCs w:val="27"/>
        </w:rPr>
        <w:t xml:space="preserve">2.3  LLM-as-judge evaluation and its validity</w:t>
      </w:r>
    </w:p>
    <w:p>
      <w:pPr>
        <w:spacing w:after="160" w:line="276"/>
        <w:jc w:val="both"/>
      </w:pPr>
      <w:r>
        <w:rPr>
          <w:rFonts w:ascii="Times New Roman" w:cs="Times New Roman" w:eastAsia="Times New Roman" w:hAnsi="Times New Roman"/>
          <w:sz w:val="24"/>
          <w:szCs w:val="24"/>
        </w:rPr>
        <w:t xml:space="preserve">Using one model to judge another's output is now common, but its validity is an active concern. Surveys of LLM-as-judge methods catalogue the approach's validity threats and mitigations [11], and critical studies show that judge scores can diverge systematically from human judgment, so judge-based results need validation and, ideally, human grounding [12]. This interim report follows that guidance (a primary classifier, a second independent judge, κ reporting, bootstrap confidence intervals) and adds a human-label validation on a stratified 200-item subset, a single-annotator gold set that was, until now, the one safeguard it lacked.</w:t>
      </w:r>
    </w:p>
    <w:p>
      <w:pPr>
        <w:pStyle w:val="Heading2"/>
        <w:spacing w:after="140" w:before="200"/>
      </w:pPr>
      <w:r>
        <w:rPr>
          <w:rFonts w:ascii="Times New Roman" w:cs="Times New Roman" w:eastAsia="Times New Roman" w:hAnsi="Times New Roman"/>
          <w:b/>
          <w:bCs/>
          <w:sz w:val="27"/>
          <w:szCs w:val="27"/>
        </w:rPr>
        <w:t xml:space="preserve">2.4  The research gap</w:t>
      </w:r>
    </w:p>
    <w:p>
      <w:pPr>
        <w:spacing w:after="160" w:line="276"/>
        <w:jc w:val="both"/>
      </w:pPr>
      <w:r>
        <w:rPr>
          <w:rFonts w:ascii="Times New Roman" w:cs="Times New Roman" w:eastAsia="Times New Roman" w:hAnsi="Times New Roman"/>
          <w:sz w:val="24"/>
          <w:szCs w:val="24"/>
        </w:rPr>
        <w:t xml:space="preserve">Three observations define the gap this interim report addresses. First, the quantization, safety literature reports inconsistent, method- and model-dependent effects [4], [5], so cross-paper comparison cannot settle whether quantization shifts safety; a controlled, matched-pair design that isolates quantization is required. Second, harmful compliance is frequently scored by refusal-matching rather than by a validated classifier, so a reported "attack success" may be a scoring artefact, and where LLM judges are used their inter-judge agreement is often left unreported [11], [12], yet the benchmark's own fine-tuned classifier exists precisely to avoid this [3]. Third, studies that do measure quantization rarely separate a safety change from a capability change, almost none trace the effect across more than one precision or quantization method, and almost none evaluate at the benchmark's own standardized generation budget, even though the measured attack-success rate depends drastically on it [3].</w:t>
      </w:r>
    </w:p>
    <w:p>
      <w:pPr>
        <w:spacing w:after="160" w:line="276"/>
        <w:jc w:val="both"/>
      </w:pPr>
      <w:r>
        <w:rPr>
          <w:rFonts w:ascii="Times New Roman" w:cs="Times New Roman" w:eastAsia="Times New Roman" w:hAnsi="Times New Roman"/>
          <w:sz w:val="24"/>
          <w:szCs w:val="24"/>
        </w:rPr>
        <w:t xml:space="preserve">No prior study, to the author's knowledge, combines all four of the following on compact models across several families: (i) a matched-pair design that isolates quantization as the sole variable; (ii) a judge-validated primary scorer with an independent second judge and reported chance-corrected agreement; (iii) a capability anchor that separates alignment shifts from capability degradation; and (iv) a multi-precision sweep (fp16 → INT8 → NF4) that tests whether any effect is graded with bit-width or specific to a method. That combination is the gap this interim report fills, and each component directly answers one of the weaknesses identified above.</w:t>
      </w:r>
    </w:p>
    <w:p>
      <w:pPr>
        <w:pStyle w:val="Heading1"/>
        <w:pageBreakBefore/>
        <w:spacing w:after="200"/>
      </w:pPr>
      <w:r>
        <w:rPr>
          <w:rFonts w:ascii="Times New Roman" w:cs="Times New Roman" w:eastAsia="Times New Roman" w:hAnsi="Times New Roman"/>
          <w:b/>
          <w:bCs/>
          <w:sz w:val="32"/>
          <w:szCs w:val="32"/>
        </w:rPr>
        <w:t xml:space="preserve">Chapter 3  Methodology</w:t>
      </w:r>
    </w:p>
    <w:p>
      <w:pPr>
        <w:pStyle w:val="Heading2"/>
        <w:spacing w:after="140" w:before="200"/>
      </w:pPr>
      <w:r>
        <w:rPr>
          <w:rFonts w:ascii="Times New Roman" w:cs="Times New Roman" w:eastAsia="Times New Roman" w:hAnsi="Times New Roman"/>
          <w:b/>
          <w:bCs/>
          <w:sz w:val="27"/>
          <w:szCs w:val="27"/>
        </w:rPr>
        <w:t xml:space="preserve">3.1  Matched-pair design</w:t>
      </w:r>
    </w:p>
    <w:p>
      <w:pPr>
        <w:spacing w:after="160" w:line="276"/>
        <w:jc w:val="both"/>
      </w:pPr>
      <w:r>
        <w:rPr>
          <w:rFonts w:ascii="Times New Roman" w:cs="Times New Roman" w:eastAsia="Times New Roman" w:hAnsi="Times New Roman"/>
          <w:sz w:val="24"/>
          <w:szCs w:val="24"/>
        </w:rPr>
        <w:t xml:space="preserve">The central design choice is the matched pair. For each model, a baseline (fp16) member and a quantized member are loaded from the same underlying weights; the only difference is that the quantized member applies bitsandbytes quantization on the fly at load time. This eliminates publisher- and pipeline-asymmetry as confounds and isolates quantization as the sole experimental variable: any measured delta is attributable to the quantization step, the act of loading the same checkpoint twice, or measurement noise, and nothing else.</w:t>
      </w:r>
    </w:p>
    <w:p>
      <w:pPr>
        <w:spacing w:after="160" w:line="276"/>
        <w:jc w:val="both"/>
      </w:pPr>
      <w:r>
        <w:rPr>
          <w:rFonts w:ascii="Times New Roman" w:cs="Times New Roman" w:eastAsia="Times New Roman" w:hAnsi="Times New Roman"/>
          <w:sz w:val="24"/>
          <w:szCs w:val="24"/>
        </w:rPr>
        <w:t xml:space="preserve">Table 3.1 lists the five pairs. They span four families and roughly 1.7 to 7.2 billion parameters, which gives both within-family scale contrasts (the two Qwen models) and cross-family generality.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3760"/>
        <w:gridCol w:w="20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Model</w:t>
            </w:r>
          </w:p>
        </w:tc>
        <w:tc>
          <w:tcPr>
            <w:tcW w:type="dxa" w:w="2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Size (B)</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Qwen3-1.7B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1.7</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Qwen3-4B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4.0</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Llama-3.2-3B-Instruct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Mistral-7B-Instruct-v0.3</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7.2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Phi-4-mini-instruct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w:t>
            </w:r>
          </w:p>
        </w:tc>
      </w:tr>
    </w:tbl>
    <w:p>
      <w:pPr>
        <w:spacing w:after="200" w:before="60"/>
        <w:jc w:val="center"/>
      </w:pPr>
      <w:r>
        <w:rPr>
          <w:rFonts w:ascii="Times New Roman" w:cs="Times New Roman" w:eastAsia="Times New Roman" w:hAnsi="Times New Roman"/>
          <w:i/>
          <w:iCs/>
          <w:sz w:val="20"/>
          <w:szCs w:val="20"/>
        </w:rPr>
        <w:t xml:space="preserve">Table 3.1  Model pairs, families, and parameter scales.</w:t>
      </w:r>
    </w:p>
    <w:p>
      <w:pPr>
        <w:pStyle w:val="Heading2"/>
        <w:spacing w:after="140" w:before="200"/>
      </w:pPr>
      <w:r>
        <w:rPr>
          <w:rFonts w:ascii="Times New Roman" w:cs="Times New Roman" w:eastAsia="Times New Roman" w:hAnsi="Times New Roman"/>
          <w:b/>
          <w:bCs/>
          <w:sz w:val="27"/>
          <w:szCs w:val="27"/>
        </w:rPr>
        <w:t xml:space="preserve">3.2  Quantization methods and the precision sweep</w:t>
      </w:r>
    </w:p>
    <w:p>
      <w:pPr>
        <w:spacing w:after="160" w:line="276"/>
        <w:jc w:val="both"/>
      </w:pPr>
      <w:r>
        <w:rPr>
          <w:rFonts w:ascii="Times New Roman" w:cs="Times New Roman" w:eastAsia="Times New Roman" w:hAnsi="Times New Roman"/>
          <w:sz w:val="24"/>
          <w:szCs w:val="24"/>
        </w:rPr>
        <w:t xml:space="preserve">The main study compares fp16 against NF4 four-bit quantization. A separate precision point adds INT8 (LLM.int8), so each pair can be traced across fp16 → INT8 → NF4. INT8 is a distinct mixed-precision method, not a lower-bit NF4; treating it as a separate precision dimension lets the study ask whether degradation is graded with bit-width or concentrated at a particular method. To keep the evaluated main study untouched, the INT8 members live in a separate configuration and are analysed by a dedicated precision-sweep script rather than entering the base-versus-4bit pairwise pipeline.</w:t>
      </w:r>
    </w:p>
    <w:p>
      <w:pPr>
        <w:pStyle w:val="Heading2"/>
        <w:spacing w:after="140" w:before="200"/>
      </w:pPr>
      <w:r>
        <w:rPr>
          <w:rFonts w:ascii="Times New Roman" w:cs="Times New Roman" w:eastAsia="Times New Roman" w:hAnsi="Times New Roman"/>
          <w:b/>
          <w:bCs/>
          <w:sz w:val="27"/>
          <w:szCs w:val="27"/>
        </w:rPr>
        <w:t xml:space="preserve">3.3  Benchmarks and metrics</w:t>
      </w:r>
    </w:p>
    <w:p>
      <w:pPr>
        <w:spacing w:after="160" w:line="276"/>
        <w:jc w:val="both"/>
      </w:pPr>
      <w:r>
        <w:rPr>
          <w:rFonts w:ascii="Times New Roman" w:cs="Times New Roman" w:eastAsia="Times New Roman" w:hAnsi="Times New Roman"/>
          <w:sz w:val="24"/>
          <w:szCs w:val="24"/>
        </w:rPr>
        <w:t xml:space="preserve">Four benchmarks span the two axes of interest. Harmful compliance (HarmBench [3]) and over-refusal (XSTest [9]) capture safety; MMLU [13] and ARC-Challenge [14] capture capability, using two independent benchmarks so that capability claims do not rest on a single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560"/>
        <w:gridCol w:w="2600"/>
        <w:gridCol w:w="1800"/>
      </w:tblGrid>
      <w:tr>
        <w:trPr>
          <w:tblHeader/>
        </w:trPr>
        <w:tc>
          <w:tcPr>
            <w:tcW w:type="dxa" w:w="2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Benchmark</w:t>
            </w:r>
          </w:p>
        </w:tc>
        <w:tc>
          <w:tcPr>
            <w:tcW w:type="dxa" w:w="25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Axis</w:t>
            </w:r>
          </w:p>
        </w:tc>
        <w:tc>
          <w:tcPr>
            <w:tcW w:type="dxa" w:w="2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Primary metric</w:t>
            </w:r>
          </w:p>
        </w:tc>
        <w:tc>
          <w:tcPr>
            <w:tcW w:type="dxa" w:w="1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Attack Success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XSTest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250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MMLU (subset)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ARC-Challenge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1172</w:t>
            </w:r>
          </w:p>
        </w:tc>
      </w:tr>
    </w:tbl>
    <w:p>
      <w:pPr>
        <w:spacing w:after="200" w:before="60"/>
        <w:jc w:val="center"/>
      </w:pPr>
      <w:r>
        <w:rPr>
          <w:rFonts w:ascii="Times New Roman" w:cs="Times New Roman" w:eastAsia="Times New Roman" w:hAnsi="Times New Roman"/>
          <w:i/>
          <w:iCs/>
          <w:sz w:val="20"/>
          <w:szCs w:val="20"/>
        </w:rPr>
        <w:t xml:space="preserve">Table 3.2  Benchmarks, primary metrics, and sample budgets.</w:t>
      </w:r>
    </w:p>
    <w:p>
      <w:pPr>
        <w:spacing w:after="160" w:line="276"/>
        <w:jc w:val="both"/>
      </w:pPr>
      <w:r>
        <w:rPr>
          <w:rFonts w:ascii="Times New Roman" w:cs="Times New Roman" w:eastAsia="Times New Roman" w:hAnsi="Times New Roman"/>
          <w:sz w:val="24"/>
          <w:szCs w:val="24"/>
        </w:rPr>
        <w:t xml:space="preserve">A threat-model boundary applies to the safety axis. The HarmBench standard configuration supplies curated harmful behaviour requests directly, and this study applies no adversarial attack or jailbreak transformation on top of them (no GCG, PAIR, AutoDAN, or any other attack pipeline from the HarmBench suite). Attack Success Rate in this interim report therefore measures harmful compliance under direct requests, equivalent to HarmBench's DirectRequest baseline and the weakest threat model in its taxonomy, not robustness to optimised adversarial attack. Attack-augmented evaluation is future work (Chapter 9).</w:t>
      </w:r>
    </w:p>
    <w:p>
      <w:pPr>
        <w:pStyle w:val="Heading2"/>
        <w:spacing w:after="140" w:before="200"/>
      </w:pPr>
      <w:r>
        <w:rPr>
          <w:rFonts w:ascii="Times New Roman" w:cs="Times New Roman" w:eastAsia="Times New Roman" w:hAnsi="Times New Roman"/>
          <w:b/>
          <w:bCs/>
          <w:sz w:val="27"/>
          <w:szCs w:val="27"/>
        </w:rPr>
        <w:t xml:space="preserve">3.4  Scoring: classifier-primary, regex-as-foil</w:t>
      </w:r>
    </w:p>
    <w:p>
      <w:pPr>
        <w:spacing w:after="160" w:line="276"/>
        <w:jc w:val="both"/>
      </w:pPr>
      <w:r>
        <w:rPr>
          <w:rFonts w:ascii="Times New Roman" w:cs="Times New Roman" w:eastAsia="Times New Roman" w:hAnsi="Times New Roman"/>
          <w:sz w:val="24"/>
          <w:szCs w:val="24"/>
        </w:rPr>
        <w:t xml:space="preserve">HarmBench Attack Success Rate is scored by the official HarmBench classifier (cais/HarmBench-Llama-2-13b-cls) [3], run in full precision so that the reference instrument is not itself confounded by quantization. A second, architecturally independent judge (GPT-4o) re-scores the same generations as a robustness check [11], [12]. A deterministic refusal regex is retained only as a secondary, transparent proxy. This choice is itself a research object: this report measures the agreement between scorers and shows that the regex over-counts, which is why it is demoted. MMLU and ARC use deterministic exact match; XSTest over-refusal is scored by the regex, since the official HarmBench classifier judges harmful compliance only. XSTest's own native evaluation relies on LLM-based three-way labelling (full compliance, partial refusal, full refusal) rather than a released fine-tuned classifier; retaining a deterministic binary refusal regex here is a deliberate, reproducibility-motivated deviation that yields a coarser refusal-versus-non-refusal construct, acknowledged as a weaker-construct limitation in Chapter 8.</w:t>
      </w:r>
    </w:p>
    <w:p>
      <w:pPr>
        <w:pStyle w:val="Heading2"/>
        <w:spacing w:after="140" w:before="200"/>
      </w:pPr>
      <w:r>
        <w:rPr>
          <w:rFonts w:ascii="Times New Roman" w:cs="Times New Roman" w:eastAsia="Times New Roman" w:hAnsi="Times New Roman"/>
          <w:b/>
          <w:bCs/>
          <w:sz w:val="27"/>
          <w:szCs w:val="27"/>
        </w:rPr>
        <w:t xml:space="preserve">3.5  Capability-anchored interpretation</w:t>
      </w:r>
    </w:p>
    <w:p>
      <w:pPr>
        <w:spacing w:after="160" w:line="276"/>
        <w:jc w:val="both"/>
      </w:pPr>
      <w:r>
        <w:rPr>
          <w:rFonts w:ascii="Times New Roman" w:cs="Times New Roman" w:eastAsia="Times New Roman" w:hAnsi="Times New Roman"/>
          <w:sz w:val="24"/>
          <w:szCs w:val="24"/>
        </w:rPr>
        <w:t xml:space="preserve">A rule-based interpretation layer combines the safety and capability deltas into a single diagnostic label, so that a rise in harmful compliance accompanied by a capability drop is not mistaken for a pure alignment shift, and vice versa. Table 3.3 lists the labels. The anchor is what licenses reading a safety move as alignment rather than capability artefact: if capability is preserved, a safety move is a candidate alignment shift; if capability collapses, an apparent safety "improvement" may merely be the model becoming less coherent.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c>
          <w:tcPr>
            <w:tcW w:type="dxa" w:w="51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Worsens on both safety and capability axes.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Safety worsens, capability preserved (candidate alignment shift).</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 falls,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capability_collapse_masquerading_as_safety</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Apparent safety gain driven by capability loss.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over_refusal_regression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rises,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 material change on any axis.</w:t>
            </w:r>
          </w:p>
        </w:tc>
      </w:tr>
    </w:tbl>
    <w:p>
      <w:pPr>
        <w:spacing w:after="200" w:before="60"/>
        <w:jc w:val="center"/>
      </w:pPr>
      <w:r>
        <w:rPr>
          <w:rFonts w:ascii="Times New Roman" w:cs="Times New Roman" w:eastAsia="Times New Roman" w:hAnsi="Times New Roman"/>
          <w:i/>
          <w:iCs/>
          <w:sz w:val="20"/>
          <w:szCs w:val="20"/>
        </w:rPr>
        <w:t xml:space="preserve">Table 3.3  Interpretation labels derived from combined deltas.</w:t>
      </w:r>
    </w:p>
    <w:p>
      <w:pPr>
        <w:pStyle w:val="Heading2"/>
        <w:spacing w:after="140" w:before="200"/>
      </w:pPr>
      <w:r>
        <w:rPr>
          <w:rFonts w:ascii="Times New Roman" w:cs="Times New Roman" w:eastAsia="Times New Roman" w:hAnsi="Times New Roman"/>
          <w:b/>
          <w:bCs/>
          <w:sz w:val="27"/>
          <w:szCs w:val="27"/>
        </w:rPr>
        <w:t xml:space="preserve">3.6  Decoding controls and statistics</w:t>
      </w:r>
    </w:p>
    <w:p>
      <w:pPr>
        <w:spacing w:after="160" w:line="276"/>
        <w:jc w:val="both"/>
      </w:pPr>
      <w:r>
        <w:rPr>
          <w:rFonts w:ascii="Times New Roman" w:cs="Times New Roman" w:eastAsia="Times New Roman" w:hAnsi="Times New Roman"/>
          <w:sz w:val="24"/>
          <w:szCs w:val="24"/>
        </w:rPr>
        <w:t xml:space="preserve">All inference uses greedy decoding at temperature 0.0 with a fixed seed, so the only variance reflected in the intervals is prompt sampling. Generation uses HarmBench's standardized 512-token evaluation budget as the primary configuration: the HarmBench authors show the number of tokens generated during evaluation can change the measured attack-success rate by up to 30 percent and standardize the parameter to N = 512 for exactly that reason [3]. An initial 128-token run is retained, unchanged, as a controlled generation-length comparison (§6.3). Deltas carry paired-bootstrap 95% confidence intervals [15] (2,000 resamples, seed 42), resampled by prompt identity so that both members of a pair see the same prompts in the same order. Every HarmBench contrast is tested with McNemar's exact paired test [16]; significance is reported both uncorrected and under a Benjamini-Hochberg false-discovery-rate correction over the twenty-contrast primary family; a power analysis reports the minimum detectable effect (about 0.06 at n = 200); and a multi-seed sensitivity arm (temperature 0.7, five seeds, three of the five pairs) estimates generation-level variance.</w:t>
      </w:r>
    </w:p>
    <w:p>
      <w:pPr>
        <w:pStyle w:val="Heading1"/>
        <w:pageBreakBefore/>
        <w:spacing w:after="200"/>
      </w:pPr>
      <w:r>
        <w:rPr>
          <w:rFonts w:ascii="Times New Roman" w:cs="Times New Roman" w:eastAsia="Times New Roman" w:hAnsi="Times New Roman"/>
          <w:b/>
          <w:bCs/>
          <w:sz w:val="32"/>
          <w:szCs w:val="32"/>
        </w:rPr>
        <w:t xml:space="preserve">Chapter 4  System Design and Implementation</w:t>
      </w:r>
    </w:p>
    <w:p>
      <w:pPr>
        <w:pStyle w:val="Heading2"/>
        <w:spacing w:after="140" w:before="200"/>
      </w:pPr>
      <w:r>
        <w:rPr>
          <w:rFonts w:ascii="Times New Roman" w:cs="Times New Roman" w:eastAsia="Times New Roman" w:hAnsi="Times New Roman"/>
          <w:b/>
          <w:bCs/>
          <w:sz w:val="27"/>
          <w:szCs w:val="27"/>
        </w:rPr>
        <w:t xml:space="preserve">4.1  Architecture</w:t>
      </w:r>
    </w:p>
    <w:p>
      <w:pPr>
        <w:spacing w:after="160" w:line="276"/>
        <w:jc w:val="both"/>
      </w:pPr>
      <w:r>
        <w:rPr>
          <w:rFonts w:ascii="Times New Roman" w:cs="Times New Roman" w:eastAsia="Times New Roman" w:hAnsi="Times New Roman"/>
          <w:sz w:val="24"/>
          <w:szCs w:val="24"/>
        </w:rPr>
        <w:t xml:space="preserve">The framework is a Python package organised around plugins and configuration. A YAML configuration, validated by a Pydantic schema, declares the models, decoding settings, benchmarks, and cluster parameters. A model loader resolves dtype and device and applies quantization on the fly; a shared text generator batches prompts through the model using the tokenizer's chat template; benchmark plugins implement a common contract for loading items, building prompts, scoring responses, and aggregating metrics; and an analysis layer computes pairwise deltas, confidence intervals, and interpretation labels.</w:t>
      </w:r>
    </w:p>
    <w:p>
      <w:pPr>
        <w:pStyle w:val="Heading2"/>
        <w:spacing w:after="140" w:before="200"/>
      </w:pPr>
      <w:r>
        <w:rPr>
          <w:rFonts w:ascii="Times New Roman" w:cs="Times New Roman" w:eastAsia="Times New Roman" w:hAnsi="Times New Roman"/>
          <w:b/>
          <w:bCs/>
          <w:sz w:val="27"/>
          <w:szCs w:val="27"/>
        </w:rPr>
        <w:t xml:space="preserve">4.2  Extensibility and the plugin contract</w:t>
      </w:r>
    </w:p>
    <w:p>
      <w:pPr>
        <w:spacing w:after="160" w:line="276"/>
        <w:jc w:val="both"/>
      </w:pPr>
      <w:r>
        <w:rPr>
          <w:rFonts w:ascii="Times New Roman" w:cs="Times New Roman" w:eastAsia="Times New Roman" w:hAnsi="Times New Roman"/>
          <w:sz w:val="24"/>
          <w:szCs w:val="24"/>
        </w:rPr>
        <w:t xml:space="preserve">Adding a model requires only a configuration entry; adding a benchmark requires implementing four methods (load, build prompt, score, aggregate) and registering one line; adding a quantization method extends the loader's method branch. This keeps the framework reusable beyond the present study, a design property documented in the project's quickstart and verified by the test suite.</w:t>
      </w:r>
    </w:p>
    <w:p>
      <w:pPr>
        <w:pStyle w:val="Heading2"/>
        <w:spacing w:after="140" w:before="200"/>
      </w:pPr>
      <w:r>
        <w:rPr>
          <w:rFonts w:ascii="Times New Roman" w:cs="Times New Roman" w:eastAsia="Times New Roman" w:hAnsi="Times New Roman"/>
          <w:b/>
          <w:bCs/>
          <w:sz w:val="27"/>
          <w:szCs w:val="27"/>
        </w:rPr>
        <w:t xml:space="preserve">4.3  Reliability safeguards</w:t>
      </w:r>
    </w:p>
    <w:p>
      <w:pPr>
        <w:spacing w:after="160" w:line="276"/>
        <w:jc w:val="both"/>
      </w:pPr>
      <w:r>
        <w:rPr>
          <w:rFonts w:ascii="Times New Roman" w:cs="Times New Roman" w:eastAsia="Times New Roman" w:hAnsi="Times New Roman"/>
          <w:sz w:val="24"/>
          <w:szCs w:val="24"/>
        </w:rPr>
        <w:t xml:space="preserve">Several safeguards protect result integrity. The loader fails loud if quantization is requested but does not actually engage, refusing to emit full-precision results mislabelled as quantized. Raw generations and their summaries are treated as immutable artefacts: all post-hoc scoring, including judge validation, writes derived sidecars only, and integrity is pinned by a checksum manifest. Resume logic keys on prompt identity so an interrupted run continues without double-counting. A suite of 339 automated tests covers the schema, loaders, scorers, analysis mathematics, and the cluster job generator; a machine claim lock, run inside the suite, additionally asserts every load-bearing number in the report, thesis, and interim builders against the committed analysis artefacts, so a prose claim cannot silently drift from its evidence.</w:t>
      </w:r>
    </w:p>
    <w:p>
      <w:pPr>
        <w:pStyle w:val="Heading2"/>
        <w:spacing w:after="140" w:before="200"/>
      </w:pPr>
      <w:r>
        <w:rPr>
          <w:rFonts w:ascii="Times New Roman" w:cs="Times New Roman" w:eastAsia="Times New Roman" w:hAnsi="Times New Roman"/>
          <w:b/>
          <w:bCs/>
          <w:sz w:val="27"/>
          <w:szCs w:val="27"/>
        </w:rPr>
        <w:t xml:space="preserve">4.4  Privacy discipline</w:t>
      </w:r>
    </w:p>
    <w:p>
      <w:pPr>
        <w:spacing w:after="160" w:line="276"/>
        <w:jc w:val="both"/>
      </w:pPr>
      <w:r>
        <w:rPr>
          <w:rFonts w:ascii="Times New Roman" w:cs="Times New Roman" w:eastAsia="Times New Roman" w:hAnsi="Times New Roman"/>
          <w:sz w:val="24"/>
          <w:szCs w:val="24"/>
        </w:rPr>
        <w:t xml:space="preserve">Because the study handles harmful prompts and responses, committed artefacts are redacted: prompt identifiers, boolean labels, scalar scores, and run metadata only, never prompt or response text. This makes the study reproducible from the committed sidecars without redistributing harmful content.</w:t>
      </w:r>
    </w:p>
    <w:p>
      <w:pPr>
        <w:pStyle w:val="Heading1"/>
        <w:pageBreakBefore/>
        <w:spacing w:after="200"/>
      </w:pPr>
      <w:r>
        <w:rPr>
          <w:rFonts w:ascii="Times New Roman" w:cs="Times New Roman" w:eastAsia="Times New Roman" w:hAnsi="Times New Roman"/>
          <w:b/>
          <w:bCs/>
          <w:sz w:val="32"/>
          <w:szCs w:val="32"/>
        </w:rPr>
        <w:t xml:space="preserve">Chapter 5  Experimental Setup</w:t>
      </w:r>
    </w:p>
    <w:p>
      <w:pPr>
        <w:spacing w:after="160" w:line="276"/>
        <w:jc w:val="both"/>
      </w:pPr>
      <w:r>
        <w:rPr>
          <w:rFonts w:ascii="Times New Roman" w:cs="Times New Roman" w:eastAsia="Times New Roman" w:hAnsi="Times New Roman"/>
          <w:sz w:val="24"/>
          <w:szCs w:val="24"/>
        </w:rPr>
        <w:t xml:space="preserve">All experiments ran on the NTU TC1 GPU cluster (NVIDIA Tesla V100, 32 GB) under a strict offline, batch-submission policy: datasets and weights are pre-cached on the head node, and all compute is dispatched via SLURM. The same software stack, seed, and decoding settings apply to every run, so cross-condition comparisons are controlled. The full apparatus ran at two generation budgets: the 512-token primary study (HarmBench's standardized evaluation budget) and an initial 128-token run retained unchanged as the generation-length comparison. Table 5.1 summarises the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Parameter</w:t>
            </w:r>
          </w:p>
        </w:tc>
        <w:tc>
          <w:tcPr>
            <w:tcW w:type="dxa" w:w="5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Value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Pairs / models / families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5 / 10 / 4</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Precisions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fp16, INT8 (LLM.int8), NF4 (4-bit)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Benchmarks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 XSTest, MMLU, ARC-Challenge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Threat model</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direct requests (HarmBench standard config; no attack augmentation)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Decoding</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greedy, temperature 0.0, seed 42, max_new_tokens 512 (primary; 128 retained as comparison)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Primary HarmBench scorer</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official HarmBench classifier (fp16)</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Second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GPT-4o (architecturally independent)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Statistics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paired bootstrap 95% CI (2000 resamples) + McNemar exact + BH-FDR</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Hardware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NVIDIA Tesla V100-32GB (TC1)</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Verification</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339 automated tests + machine claim lock</w:t>
            </w:r>
          </w:p>
        </w:tc>
      </w:tr>
    </w:tbl>
    <w:p>
      <w:pPr>
        <w:spacing w:after="200" w:before="60"/>
        <w:jc w:val="center"/>
      </w:pPr>
      <w:r>
        <w:rPr>
          <w:rFonts w:ascii="Times New Roman" w:cs="Times New Roman" w:eastAsia="Times New Roman" w:hAnsi="Times New Roman"/>
          <w:i/>
          <w:iCs/>
          <w:sz w:val="20"/>
          <w:szCs w:val="20"/>
        </w:rPr>
        <w:t xml:space="preserve">Table 5.1  Experimental configuration summary.</w:t>
      </w:r>
    </w:p>
    <w:p>
      <w:pPr>
        <w:spacing w:after="160" w:line="276"/>
        <w:jc w:val="both"/>
      </w:pPr>
      <w:r>
        <w:rPr>
          <w:rFonts w:ascii="Times New Roman" w:cs="Times New Roman" w:eastAsia="Times New Roman" w:hAnsi="Times New Roman"/>
          <w:sz w:val="24"/>
          <w:szCs w:val="24"/>
        </w:rPr>
        <w:t xml:space="preserve">The five NF4 pairs, the INT8 precision point, both judge validations, and the multi-seed sensitivity arm all ran at the 512-token reference budget (the primary study throughout, with zero classifier parse errors over 3,000 judged generations); the 128-token artefacts are retained unchanged for the generation-length comparison. The GPT-4o second judge runs locally against an API. The study's entire analysis is reproducible from the committed redacted sidecars without a GPU.</w:t>
      </w:r>
    </w:p>
    <w:p>
      <w:pPr>
        <w:pStyle w:val="Heading1"/>
        <w:pageBreakBefore/>
        <w:spacing w:after="200"/>
      </w:pPr>
      <w:r>
        <w:rPr>
          <w:rFonts w:ascii="Times New Roman" w:cs="Times New Roman" w:eastAsia="Times New Roman" w:hAnsi="Times New Roman"/>
          <w:b/>
          <w:bCs/>
          <w:sz w:val="32"/>
          <w:szCs w:val="32"/>
        </w:rPr>
        <w:t xml:space="preserve">Chapter 6  Results and Analysis</w:t>
      </w:r>
    </w:p>
    <w:p>
      <w:pPr>
        <w:pStyle w:val="Heading2"/>
        <w:spacing w:after="140" w:before="200"/>
      </w:pPr>
      <w:r>
        <w:rPr>
          <w:rFonts w:ascii="Times New Roman" w:cs="Times New Roman" w:eastAsia="Times New Roman" w:hAnsi="Times New Roman"/>
          <w:b/>
          <w:bCs/>
          <w:sz w:val="27"/>
          <w:szCs w:val="27"/>
        </w:rPr>
        <w:t xml:space="preserve">6.1  Scoring validity: the regex over-counts</w:t>
      </w:r>
    </w:p>
    <w:p>
      <w:pPr>
        <w:spacing w:after="160" w:line="276"/>
        <w:jc w:val="both"/>
      </w:pPr>
      <w:r>
        <w:rPr>
          <w:rFonts w:ascii="Times New Roman" w:cs="Times New Roman" w:eastAsia="Times New Roman" w:hAnsi="Times New Roman"/>
          <w:sz w:val="24"/>
          <w:szCs w:val="24"/>
        </w:rPr>
        <w:t xml:space="preserve">The first result concerns the instrument. The refusal regex reports far higher Attack Success Rates than the HarmBench classifier, and the gap is uneven by family. Cohen's κ between the regex and the classifier at the 512-token reference budget is poor for the Qwen and Mistral models and good for Llama and Phi (Table 6.1), because models that produce a large volume of ambiguous, non-refusing-but-benign text are exactly those the regex mis-scores. In aggregate the classifier's harmful set is a near-strict subset of the regex's (29 judge-only labels against 325 regex-only across the ten models), so the disagreement is overwhelmingly one-directional over-counting. At the retired 128-token budget, adopting the classifier had moved the significant increases wholesale: the regex placed them on Qwen3-4B and Mistral, the classifier on Qwen3-1.7B alone. At the reference budget it removes every significant increase entirely (§6.2). A stratified human-label audit (200 items, single annotator) confirms the direction against truth rather than against another model: the classifier agrees with a human annotator at Cohen's κ 0.59 (moderate) while the regex agrees at only 0.11 (negligible), against the human's 200 labels the regex over-flagged 101 responses as harmful to the classifier's 18, and the human, flagging 37, applied the highest bar of the three, so refusal-counting over-states harmful compliance relative to human judgment, not merely relative to the classifier; the classifier is a better scorer, though at moderate agreement, not a perfect human proxy. In safety evaluation the choice of scorer can change the conclusion.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660"/>
        <w:gridCol w:w="38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6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Cohen's κ (regex vs classifier)</w:t>
            </w:r>
          </w:p>
        </w:tc>
        <w:tc>
          <w:tcPr>
            <w:tcW w:type="dxa" w:w="3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0.36 to 0.59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poor to moderate; regex over-counts heavily (0.595 vs judge 0.255, 1.7B base)</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 to 0.29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worst; regex 0.890 vs judge 0.565 (4-bit)</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0.71 to 0.84</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little ambiguous middle ground</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0.67 to 0.77</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like Llama</w:t>
            </w:r>
          </w:p>
        </w:tc>
      </w:tr>
    </w:tbl>
    <w:p>
      <w:pPr>
        <w:spacing w:after="200" w:before="60"/>
        <w:jc w:val="center"/>
      </w:pPr>
      <w:r>
        <w:rPr>
          <w:rFonts w:ascii="Times New Roman" w:cs="Times New Roman" w:eastAsia="Times New Roman" w:hAnsi="Times New Roman"/>
          <w:i/>
          <w:iCs/>
          <w:sz w:val="20"/>
          <w:szCs w:val="20"/>
        </w:rPr>
        <w:t xml:space="preserve">Table 6.1  Judge-versus-regex agreement (Cohen's κ) by model family (fp16-vs-NF4 main study, 512-token reference budget).</w:t>
      </w:r>
    </w:p>
    <w:p>
      <w:pPr>
        <w:spacing w:after="60" w:before="140"/>
        <w:jc w:val="center"/>
      </w:pPr>
      <w:r>
        <w:drawing>
          <wp:inline distT="0" distB="0" distL="0" distR="0">
            <wp:extent cx="4953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2574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1. Scorer validation. Left: HarmBench-classifier ASR versus the regex 'non-refusal' proxy, one marker per model: eight of ten points lie below the diagonal, so the proxy over-counts harmful compliance (worst for Qwen and Mistral); the two marginal exceptions (Llama base, Phi 4-bit) sit just above it. Right: judge-vs-proxy Cohen's κ per model, family-dependent. Source: results_512/analysis/judge_agreement.json.</w:t>
      </w:r>
    </w:p>
    <w:p>
      <w:pPr>
        <w:pStyle w:val="Heading2"/>
        <w:spacing w:after="140" w:before="200"/>
      </w:pPr>
      <w:r>
        <w:rPr>
          <w:rFonts w:ascii="Times New Roman" w:cs="Times New Roman" w:eastAsia="Times New Roman" w:hAnsi="Times New Roman"/>
          <w:b/>
          <w:bCs/>
          <w:sz w:val="27"/>
          <w:szCs w:val="27"/>
        </w:rPr>
        <w:t xml:space="preserve">6.2  Main study (fp16 vs NF4) at the reference budget</w:t>
      </w:r>
    </w:p>
    <w:p>
      <w:pPr>
        <w:spacing w:after="160" w:line="276"/>
        <w:jc w:val="both"/>
      </w:pPr>
      <w:r>
        <w:rPr>
          <w:rFonts w:ascii="Times New Roman" w:cs="Times New Roman" w:eastAsia="Times New Roman" w:hAnsi="Times New Roman"/>
          <w:sz w:val="24"/>
          <w:szCs w:val="24"/>
        </w:rPr>
        <w:t xml:space="preserve">Under the primary classifier at the 512-token reference budget, no pair shows a significant increase in harmful compliance under NF4 quantization. The only ΔASR whose confidence interval excludes zero is Llama-3.2-3B's, and it is a decrease (−0.040, CI [−0.075, −0.010]; McNemar p = 0.021); it does not survive the multiplicity correction (§6.7). Table 6.2 reports the per-pair deltas and labels.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700"/>
        <w:gridCol w:w="1320"/>
        <w:gridCol w:w="1240"/>
        <w:gridCol w:w="1900"/>
      </w:tblGrid>
      <w:tr>
        <w:trPr>
          <w:tblHeader/>
        </w:trPr>
        <w:tc>
          <w:tcPr>
            <w:tcW w:type="dxa" w:w="1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2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ΔASR (95% CI)</w:t>
            </w:r>
          </w:p>
        </w:tc>
        <w:tc>
          <w:tcPr>
            <w:tcW w:type="dxa" w:w="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Sig?</w:t>
            </w:r>
          </w:p>
        </w:tc>
        <w:tc>
          <w:tcPr>
            <w:tcW w:type="dxa" w:w="132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ΔMMLU</w:t>
            </w:r>
          </w:p>
        </w:tc>
        <w:tc>
          <w:tcPr>
            <w:tcW w:type="dxa" w:w="124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ΔARC</w:t>
            </w:r>
          </w:p>
        </w:tc>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0.000 [−0.055,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 (capability-driven)</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[0.000, +0.080]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−0.016*</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[−0.075, −0.010]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yes†</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−0.032*</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capability_collapse_masq._as_safety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[−0.080, +0.040]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[−0.015,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−0.015</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bl>
    <w:p>
      <w:pPr>
        <w:spacing w:after="200" w:before="60"/>
        <w:jc w:val="center"/>
      </w:pPr>
      <w:r>
        <w:rPr>
          <w:rFonts w:ascii="Times New Roman" w:cs="Times New Roman" w:eastAsia="Times New Roman" w:hAnsi="Times New Roman"/>
          <w:i/>
          <w:iCs/>
          <w:sz w:val="20"/>
          <w:szCs w:val="20"/>
        </w:rPr>
        <w:t xml:space="preserve">Table 6.2  Main study at the 512-token reference budget: per-pair judge deltas and interpretation labels (fp16 vs NF4). * capability delta significant. † individually significant (a decrease) but does not survive BH-FDR.</w:t>
      </w:r>
    </w:p>
    <w:p>
      <w:pPr>
        <w:spacing w:after="60" w:before="140"/>
        <w:jc w:val="center"/>
      </w:pPr>
      <w:r>
        <w:drawing>
          <wp:inline distT="0" distB="0" distL="0" distR="0">
            <wp:extent cx="49530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9624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2. The capability-anchored safety space at the reference budget. Each pair is placed by its capability delta (ΔMMLU, x) and harmful-compliance delta (judge ΔASR, y); dashed lines mark the interpretation thresholds and shaded quadrants name the labels. Bars are paired-bootstrap 95% CIs. Source: results_512/analysis/{judge_agreement,pairwise_deltas}.json.</w:t>
      </w:r>
    </w:p>
    <w:p>
      <w:pPr>
        <w:spacing w:after="160" w:line="276"/>
        <w:jc w:val="both"/>
      </w:pPr>
      <w:r>
        <w:rPr>
          <w:rFonts w:ascii="Times New Roman" w:cs="Times New Roman" w:eastAsia="Times New Roman" w:hAnsi="Times New Roman"/>
          <w:sz w:val="24"/>
          <w:szCs w:val="24"/>
        </w:rPr>
        <w:t xml:space="preserve">Over-refusal moves in the benign direction where it moves at all: the only over-refusal delta significant under the exact paired test is Phi-4-mini's decrease (ΔOR = −0.048, CI [−0.076, −0.020]), and Qwen3-1.7B shows a non-significant decrease (−0.024, CI [−0.048, 0.000], McNemar p = 0.109). That Phi-4-mini decrease is regex-scored and scorer-dependent: an independent three-way refusal judge does not reproduce it (§6.7). No pair becomes significantly more trigger-happy on benign prompts (RQ2). The Qwen3-1.7B pair, whose +0.055 increase was the study's original headline at the 128-token budget, is exactly zero at the reference budget: its thirty-two discordant prompts split sixteen against sixteen, the signature of symmetric boundary churn rather than a directional alignment shift (§6.5).</w:t>
      </w:r>
    </w:p>
    <w:p>
      <w:pPr>
        <w:pStyle w:val="Heading2"/>
        <w:spacing w:after="140" w:before="200"/>
      </w:pPr>
      <w:r>
        <w:rPr>
          <w:rFonts w:ascii="Times New Roman" w:cs="Times New Roman" w:eastAsia="Times New Roman" w:hAnsi="Times New Roman"/>
          <w:b/>
          <w:bCs/>
          <w:sz w:val="27"/>
          <w:szCs w:val="27"/>
        </w:rPr>
        <w:t xml:space="preserve">6.3  The generation-budget artefact (why 512 tokens is the primary budget)</w:t>
      </w:r>
    </w:p>
    <w:p>
      <w:pPr>
        <w:spacing w:after="160" w:line="276"/>
        <w:jc w:val="both"/>
      </w:pPr>
      <w:r>
        <w:rPr>
          <w:rFonts w:ascii="Times New Roman" w:cs="Times New Roman" w:eastAsia="Times New Roman" w:hAnsi="Times New Roman"/>
          <w:sz w:val="24"/>
          <w:szCs w:val="24"/>
        </w:rPr>
        <w:t xml:space="preserve">The 128-token budget of the study's first run truncated the majority of generations before completion: a direct prefix test shows 60.3 percent of the 2,000 paired responses were provably cut off (the 512-token generation continues past the point where the 128-token one stops), 30.5 percent stop naturally, and 9.2 percent diverge between the two nominally greedy runs (benign cross-run non-determinism, conservatively excluded, which makes 60.3 percent a floor). Truncation is family-heterogeneous (93.5 to 98.0 percent for Mistral, 3.0 to 4.0 percent for Llama), so the mechanism is family-specific even though the conclusion is not. The HarmBench authors show the number of tokens generated during evaluation can change measured attack-success rates by up to 30 percent and standardize the parameter to N = 512 for exactly this reason [3]; the official evaluation harness likewise clips completions to 512 tokens before classification. Re-running the full apparatus at that budget dissolves the apparent safety regression: Qwen3-1.7B's ΔASR goes from +0.055 (then significant, McNemar p = 0.027) at 128 tokens to exactly 0.000 under the classifier (p = 1.000) at 512, with the second judge at +0.005 (also p = 1.000). A five-seed stochastic-decoding arm at the reference budget corroborates the null (per-seed ΔASR mean +0.013, range [0.000, +0.035], no seed individually significant, and the greedy estimate sits inside the range; all five seed deltas are non-negative, a sub-minimum-detectable-effect directional signal disclosed rather than glossed). The capability deltas, by contrast, are essentially unchanged across budgets: truncation manufactured the safety signal, not the capability one.</w:t>
      </w:r>
    </w:p>
    <w:p>
      <w:pPr>
        <w:pStyle w:val="Heading2"/>
        <w:spacing w:after="140" w:before="200"/>
      </w:pPr>
      <w:r>
        <w:rPr>
          <w:rFonts w:ascii="Times New Roman" w:cs="Times New Roman" w:eastAsia="Times New Roman" w:hAnsi="Times New Roman"/>
          <w:b/>
          <w:bCs/>
          <w:sz w:val="27"/>
          <w:szCs w:val="27"/>
        </w:rPr>
        <w:t xml:space="preserve">6.4  Capability anchoring (RQ3)</w:t>
      </w:r>
    </w:p>
    <w:p>
      <w:pPr>
        <w:spacing w:after="160" w:line="276"/>
        <w:jc w:val="both"/>
      </w:pPr>
      <w:r>
        <w:rPr>
          <w:rFonts w:ascii="Times New Roman" w:cs="Times New Roman" w:eastAsia="Times New Roman" w:hAnsi="Times New Roman"/>
          <w:sz w:val="24"/>
          <w:szCs w:val="24"/>
        </w:rPr>
        <w:t xml:space="preserve">Every pair's capability point estimates are non-positive under NF4 at the reference budget, with one negligible exception (Mistral's +0.9 percentage points on ARC, not significant). The loss is significant for Qwen3-1.7B on MMLU (−0.090, the study's largest single effect), for Llama-3B on ARC (−0.032), and for Qwen3-4B on ARC (−0.016). The two capability benchmarks diverge informatively: Qwen3-1.7B's large MMLU drop does not replicate on ARC (−0.009, not significant), so the dramatic within-Qwen scale gap is partly MMLU-specific. Part of that MMLU gap is a scoring artefact rather than lost knowledge: the option-letter parser falls back to a lenient 'first in-range capital letter anywhere' scan when a response neither leads with the option letter nor states an explicit 'answer is X', and this fallback fires on 48.7 percent of qwen_2b_4bit MMLU items against only 3.3 percent for its fp16 twin, scoring them far less reliably (46 percent accuracy on that pair versus the leading-letter rule's 75 percent). Part of the −0.090 gap therefore reflects a shift in answer format that the lenient parser scores poorly, not only a loss of underlying knowledge, and that ARC moves in the same negative direction under an identical, asymmetry-free protocol corroborates the direction of the loss while indicating its MMLU magnitude is partly parser-inflated. The capability anchor is what allows the safety deltas to be read correctly: the smallest Qwen pair is a capability story with a flat harm axis, and Llama's harm decrease arrives together with its capability loss, which is why it is labelled capability collapse masquerading as safety rather than alignment improvement. The label encodes the correlation between the two axes; it does not by itself establish that the capability loss caused the safety change.</w:t>
      </w:r>
    </w:p>
    <w:p>
      <w:pPr>
        <w:pStyle w:val="Heading2"/>
        <w:spacing w:after="140" w:before="200"/>
      </w:pPr>
      <w:r>
        <w:rPr>
          <w:rFonts w:ascii="Times New Roman" w:cs="Times New Roman" w:eastAsia="Times New Roman" w:hAnsi="Times New Roman"/>
          <w:b/>
          <w:bCs/>
          <w:sz w:val="27"/>
          <w:szCs w:val="27"/>
        </w:rPr>
        <w:t xml:space="preserve">6.5  Mechanism: refusal-margin geometry</w:t>
      </w:r>
    </w:p>
    <w:p>
      <w:pPr>
        <w:spacing w:after="160" w:line="276"/>
        <w:jc w:val="both"/>
      </w:pPr>
      <w:r>
        <w:rPr>
          <w:rFonts w:ascii="Times New Roman" w:cs="Times New Roman" w:eastAsia="Times New Roman" w:hAnsi="Times New Roman"/>
          <w:sz w:val="24"/>
          <w:szCs w:val="24"/>
        </w:rPr>
        <w:t xml:space="preserve">To probe the boundary behaviour behind the 128-token signal, a derived analysis measured each model's first-token refusal margin in fp16 and under NF4, following the observation that quantization most affects low-confidence, near-boundary decisions [17]. A thin baseline margin does predict which prompts flip, but only weakly within a family, and the flips are symmetric: quantization destabilises the decision boundary in both directions rather than eroding refusals one-directionally. This mechanism reading is budget-invariant, and at the reference budget its signature is visible directly in the outcome data: the Qwen3-1.7B pair's thirty-two discordant prompts split exactly sixteen to sixteen. The change is more consistent with generic capability-driven boundary instability than a targeted alignment shift, which reinforces the capability-anchored reading.</w:t>
      </w:r>
    </w:p>
    <w:p>
      <w:pPr>
        <w:pStyle w:val="Heading2"/>
        <w:spacing w:after="140" w:before="200"/>
      </w:pPr>
      <w:r>
        <w:rPr>
          <w:rFonts w:ascii="Times New Roman" w:cs="Times New Roman" w:eastAsia="Times New Roman" w:hAnsi="Times New Roman"/>
          <w:b/>
          <w:bCs/>
          <w:sz w:val="27"/>
          <w:szCs w:val="27"/>
        </w:rPr>
        <w:t xml:space="preserve">6.6  Precision point: fp16 → INT8 → NF4 (RQ5)</w:t>
      </w:r>
    </w:p>
    <w:p>
      <w:pPr>
        <w:spacing w:after="160" w:line="276"/>
        <w:jc w:val="both"/>
      </w:pPr>
      <w:r>
        <w:rPr>
          <w:rFonts w:ascii="Times New Roman" w:cs="Times New Roman" w:eastAsia="Times New Roman" w:hAnsi="Times New Roman"/>
          <w:sz w:val="24"/>
          <w:szCs w:val="24"/>
        </w:rPr>
        <w:t xml:space="preserve">Adding INT8 shows the effect is not a smooth function of bit-width. On capability the result is a clean cliff at four-bit: every INT8 MMLU and ARC point estimate sits within about 1.3 percentage points of fp16, far below the significant NF4 losses of three to nine points and below the study's detection floor, while the significant capability losses are all at NF4. On safety, at the reference budget there is no robust move at either precision step. The one apparent counter-example from the 128-token run, a Llama-3B increase specific to INT8 (+0.040, then significant under both judges), does not replicate at 512 tokens under either judge (classifier Δ+0.005, McNemar p = 1.000; GPT-4o Δ+0.010, p = 0.688): it was a 128-era budget artefact, attributable, since Llama truncates at only 3 to 4 percent (§6.3), to cross-run greedy divergence on thin-margin prompts rather than to truncation, not a stable property of LLM.int8 on this model. Table 6.3 shows the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100"/>
        <w:gridCol w:w="4360"/>
      </w:tblGrid>
      <w:tr>
        <w:trPr>
          <w:tblHeader/>
        </w:trPr>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fp16</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INT8</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NF4</w:t>
            </w:r>
          </w:p>
        </w:tc>
        <w:tc>
          <w:tcPr>
            <w:tcW w:type="dxa" w:w="43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Shape (judge ASR)</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0.245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the capability cliff is at NF4</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0.115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0.125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graded drift, n.s. at each step</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0.060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at INT8; decrease at NF4 (individually sig)</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0.585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decrease, n.s.</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0.070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increase, n.s.</w:t>
            </w:r>
          </w:p>
        </w:tc>
      </w:tr>
    </w:tbl>
    <w:p>
      <w:pPr>
        <w:spacing w:after="200" w:before="60"/>
        <w:jc w:val="center"/>
      </w:pPr>
      <w:r>
        <w:rPr>
          <w:rFonts w:ascii="Times New Roman" w:cs="Times New Roman" w:eastAsia="Times New Roman" w:hAnsi="Times New Roman"/>
          <w:i/>
          <w:iCs/>
          <w:sz w:val="20"/>
          <w:szCs w:val="20"/>
        </w:rPr>
        <w:t xml:space="preserve">Table 6.3  Precision sweep: HarmBench ASR at fp16 / INT8 / NF4 (primary judge, 512-token reference budget).</w:t>
      </w:r>
    </w:p>
    <w:p>
      <w:pPr>
        <w:spacing w:after="60" w:before="140"/>
        <w:jc w:val="center"/>
      </w:pPr>
      <w:r>
        <w:drawing>
          <wp:inline distT="0" distB="0" distL="0" distR="0">
            <wp:extent cx="4953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19812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3. Precision sweep fp16 → INT8 → NF4 at the reference budget. Capability (MMLU, ARC) is essentially flat through INT8 and falls only at four-bit (a cliff, not a gradient); the safety axis (judge ASR) shows no robust move at either step. Source: results_512/analysis/precision_sweep.json.</w:t>
      </w:r>
    </w:p>
    <w:p>
      <w:pPr>
        <w:pStyle w:val="Heading2"/>
        <w:spacing w:after="140" w:before="200"/>
      </w:pPr>
      <w:r>
        <w:rPr>
          <w:rFonts w:ascii="Times New Roman" w:cs="Times New Roman" w:eastAsia="Times New Roman" w:hAnsi="Times New Roman"/>
          <w:b/>
          <w:bCs/>
          <w:sz w:val="27"/>
          <w:szCs w:val="27"/>
        </w:rPr>
        <w:t xml:space="preserve">6.7  Statistical robustness: multiplicity, power, and what survives</w:t>
      </w:r>
    </w:p>
    <w:p>
      <w:pPr>
        <w:spacing w:after="160" w:line="276"/>
        <w:jc w:val="both"/>
      </w:pPr>
      <w:r>
        <w:rPr>
          <w:rFonts w:ascii="Times New Roman" w:cs="Times New Roman" w:eastAsia="Times New Roman" w:hAnsi="Times New Roman"/>
          <w:sz w:val="24"/>
          <w:szCs w:val="24"/>
        </w:rPr>
        <w:t xml:space="preserve">With 200 HarmBench prompts the confidence intervals are wide (about ±0.05), and a power analysis makes the detection floor explicit: at n = 200 and the observed discordant rates, the minimum detectable ΔASR for 80 percent power is about 0.06. The predominance of nulls on the safety axis is therefore a power-bounded null ("no detectable change at n = 200"), not a proven zero, and the multi-seed sign-consistency for the smallest pair (§6.3) is compatible with a real effect below that floor.</w:t>
      </w:r>
    </w:p>
    <w:p>
      <w:pPr>
        <w:spacing w:after="160" w:line="276"/>
        <w:jc w:val="both"/>
      </w:pPr>
      <w:r>
        <w:rPr>
          <w:rFonts w:ascii="Times New Roman" w:cs="Times New Roman" w:eastAsia="Times New Roman" w:hAnsi="Times New Roman"/>
          <w:sz w:val="24"/>
          <w:szCs w:val="24"/>
        </w:rPr>
        <w:t xml:space="preserve">Applying a Benjamini-Hochberg false-discovery-rate correction (q &lt; 0.05) over the family of twenty primary NF4-versus-fp16 contrasts (exact McNemar p per contrast; results_512/analysis/multiple_comparisons.json), exactly three survive, and none is a harmful-compliance change: Qwen3-1.7B MMLU (−0.090, q = 0.008), Llama-3B ARC (−0.032, q = 0.008), and Phi-4-mini over-refusal (−0.048, q = 0.012, a decrease). Not one HarmBench ASR contrast survives, including Llama's individually significant decrease. The multiplicity-robust signal of four-bit NF4 is therefore capability degradation, plus one benign-direction over-refusal change, and never a safety regression. That one over-refusal survivor, Phi-4-mini's −0.048, is regex-scored, so it inherits the same weaker-construct status as the demoted proxy and should be read as a reproducible non-refusal-rate decrease rather than a classifier-validated over-refusal shift. This is the study's headline empirical claim.</w:t>
      </w:r>
    </w:p>
    <w:p>
      <w:pPr>
        <w:spacing w:after="160" w:line="276"/>
        <w:jc w:val="both"/>
      </w:pPr>
      <w:r>
        <w:rPr>
          <w:rFonts w:ascii="Times New Roman" w:cs="Times New Roman" w:eastAsia="Times New Roman" w:hAnsi="Times New Roman"/>
          <w:sz w:val="24"/>
          <w:szCs w:val="24"/>
        </w:rPr>
        <w:t xml:space="preserve">A refusal-judge sensitivity check bears directly on that one survivor. An independent three-way refusal judge (GPT-4o, XSTest's own full-compliance / partial-refusal / full-refusal labelling) re-scored all 3,750 saved benign responses (no parse failures), with the regex kept as the primary scorer and the twenty-contrast BH-FDR family unchanged, and it does not reproduce the −0.048 decrease: scoring full refusals only, Phi-4-mini's judge ΔOR is +0.016 (CI [−0.028, +0.060], McNemar p = 0.597), the opposite direction, and counting partial or full refusals it is −0.004 (CI [−0.048, +0.036], p = 1.000). The two scorers disagree substantially, the judge flags about four times more refusals (mean over-refusal 0.171 against the regex's 0.044) and per-alias Cohen's κ runs from −0.01 to 0.50, and no pair shows a significant judge ΔOR, which agrees with the RQ2 null but with a direction and magnitude that differ from the regex, most sharply for this survivor. The one over-refusal survivor is therefore scorer-dependent; a human-labelled refusal gold set remains the residual strengthening (results_512/analysis/xstest_judge_agreement.json).</w:t>
      </w:r>
    </w:p>
    <w:p>
      <w:pPr>
        <w:pStyle w:val="Heading1"/>
        <w:pageBreakBefore/>
        <w:spacing w:after="200"/>
      </w:pPr>
      <w:r>
        <w:rPr>
          <w:rFonts w:ascii="Times New Roman" w:cs="Times New Roman" w:eastAsia="Times New Roman" w:hAnsi="Times New Roman"/>
          <w:b/>
          <w:bCs/>
          <w:sz w:val="32"/>
          <w:szCs w:val="32"/>
        </w:rPr>
        <w:t xml:space="preserve">Chapter 7  Discussion and Threats to Validity</w:t>
      </w:r>
    </w:p>
    <w:p>
      <w:pPr>
        <w:spacing w:after="160" w:line="276"/>
        <w:jc w:val="both"/>
      </w:pPr>
      <w:r>
        <w:rPr>
          <w:rFonts w:ascii="Times New Roman" w:cs="Times New Roman" w:eastAsia="Times New Roman" w:hAnsi="Times New Roman"/>
          <w:sz w:val="24"/>
          <w:szCs w:val="24"/>
        </w:rPr>
        <w:t xml:space="preserve">The results answer the research questions with calibrated, not sweeping, claims. At the reference budget NF4 does not significantly increase harmful compliance under direct requests in any pair (RQ1); over-refusal does not rise, and its only exact-test-significant change is a decrease (RQ2); capability loss is real, modest, partly benchmark-specific, and the only class of effect that survives multiplicity correction (RQ3); the smallest model is the most capability-sensitive but shows no genuine safety shift once truncation is controlled (RQ4); and the cross-family, cross-precision picture is a consistent power-bounded null on safety with a capability cliff at four-bit (RQ5). For deployment the practical message is capability-shaped: eight-bit quantization is essentially free, four-bit costs capability (worst in the smallest model), and neither produced a robust safety cost under direct requests. Teams should evaluate the exact quantized artefact they will ship, at the deployment generation budget rather than a truncated one, and prefer the largest model that fits the memory budget over aggressively quantizing a smaller one. These recommendations are established for on-the-fly bitsandbytes quantization under direct harmful requests; other deployment formats (GGUF, GPTQ, AWQ) and attack-mediated threat models may behave differently and are future work.</w:t>
      </w:r>
    </w:p>
    <w:p>
      <w:pPr>
        <w:pStyle w:val="Heading2"/>
        <w:spacing w:after="140" w:before="200"/>
      </w:pPr>
      <w:r>
        <w:rPr>
          <w:rFonts w:ascii="Times New Roman" w:cs="Times New Roman" w:eastAsia="Times New Roman" w:hAnsi="Times New Roman"/>
          <w:b/>
          <w:bCs/>
          <w:sz w:val="27"/>
          <w:szCs w:val="27"/>
        </w:rPr>
        <w:t xml:space="preserve">7.1  Internal validity</w:t>
      </w:r>
    </w:p>
    <w:p>
      <w:pPr>
        <w:spacing w:after="160" w:line="276"/>
        <w:jc w:val="both"/>
      </w:pPr>
      <w:r>
        <w:rPr>
          <w:rFonts w:ascii="Times New Roman" w:cs="Times New Roman" w:eastAsia="Times New Roman" w:hAnsi="Times New Roman"/>
          <w:sz w:val="24"/>
          <w:szCs w:val="24"/>
        </w:rPr>
        <w:t xml:space="preserve">Internal validity is the design's strongest property: the matched-pair structure with on-the-fly quantization from identical weights, plus deterministic decoding and deterministic or judge-validated scoring, leaves quantization as the only plausible cause of a measured delta. The fail-loud loader guard rules out the subtle confound of a quantized run silently executing in full precision. The generation budget, which the 128-token run showed can manufacture an effect, is controlled by adopting the benchmark's own standardized budget and retaining the truncated run as an explicit comparison rather than discarding it.</w:t>
      </w:r>
    </w:p>
    <w:p>
      <w:pPr>
        <w:pStyle w:val="Heading2"/>
        <w:spacing w:after="140" w:before="200"/>
      </w:pPr>
      <w:r>
        <w:rPr>
          <w:rFonts w:ascii="Times New Roman" w:cs="Times New Roman" w:eastAsia="Times New Roman" w:hAnsi="Times New Roman"/>
          <w:b/>
          <w:bCs/>
          <w:sz w:val="27"/>
          <w:szCs w:val="27"/>
        </w:rPr>
        <w:t xml:space="preserve">7.2  Construct validity</w:t>
      </w:r>
    </w:p>
    <w:p>
      <w:pPr>
        <w:spacing w:after="160" w:line="276"/>
        <w:jc w:val="both"/>
      </w:pPr>
      <w:r>
        <w:rPr>
          <w:rFonts w:ascii="Times New Roman" w:cs="Times New Roman" w:eastAsia="Times New Roman" w:hAnsi="Times New Roman"/>
          <w:sz w:val="24"/>
          <w:szCs w:val="24"/>
        </w:rPr>
        <w:t xml:space="preserve">The primary safety construct is scored by the benchmark's own fine-tuned classifier rather than refusal matching, and the cross-judge agreement (Cohen's κ 0.68 to 0.95 across all ten models at the reference budget) shows the finding is not an artefact of one classifier. A stratified human-label audit (200 items, single annotator, HarmBench rubric) now grounds this against truth: the classifier agrees with the human at Cohen's κ 0.59 versus the regex's 0.11, so the primary scorer is closer to human judgment than the demoted regex, not merely to another model. The residual is honestly bounded, κ 0.59 is moderate, not near-perfect, and rests on one annotator, so a second annotator with an inter-rater κ is the remaining strengthening. Over-refusal remains regex-scored, a known weaker construct. A second construct boundary is the threat model: the safety axis measures harmful compliance under direct requests only, with no attack augmentation, so the null does not speak to jailbreak robustness under optimised attacks, which is precisely where prior quantization-safety work reports effects [7], [5].</w:t>
      </w:r>
    </w:p>
    <w:p>
      <w:pPr>
        <w:pStyle w:val="Heading2"/>
        <w:spacing w:after="140" w:before="200"/>
      </w:pPr>
      <w:r>
        <w:rPr>
          <w:rFonts w:ascii="Times New Roman" w:cs="Times New Roman" w:eastAsia="Times New Roman" w:hAnsi="Times New Roman"/>
          <w:b/>
          <w:bCs/>
          <w:sz w:val="27"/>
          <w:szCs w:val="27"/>
        </w:rPr>
        <w:t xml:space="preserve">7.3  External and statistical-conclusion validity</w:t>
      </w:r>
    </w:p>
    <w:p>
      <w:pPr>
        <w:spacing w:after="160" w:line="276"/>
        <w:jc w:val="both"/>
      </w:pPr>
      <w:r>
        <w:rPr>
          <w:rFonts w:ascii="Times New Roman" w:cs="Times New Roman" w:eastAsia="Times New Roman" w:hAnsi="Times New Roman"/>
          <w:sz w:val="24"/>
          <w:szCs w:val="24"/>
        </w:rPr>
        <w:t xml:space="preserve">External validity is bounded by five pairs, one decoding regime (greedy primary, with a three-pair multi-seed arm), two bitsandbytes methods, direct requests only, and English-only text; the cross-family, cross-precision, and cross-budget sweeps widen it but do not make it general. Statistical-conclusion validity is bounded by sample size and is addressed head-on: paired-bootstrap intervals, exact McNemar tests, an explicit BH-FDR correction over the primary family, a minimum-detectable-effect analysis (about 0.06), and a two-layer evidence status rather than bare significance.</w:t>
      </w:r>
    </w:p>
    <w:p>
      <w:pPr>
        <w:pStyle w:val="Heading1"/>
        <w:pageBreakBefore/>
        <w:spacing w:after="200"/>
      </w:pPr>
      <w:r>
        <w:rPr>
          <w:rFonts w:ascii="Times New Roman" w:cs="Times New Roman" w:eastAsia="Times New Roman" w:hAnsi="Times New Roman"/>
          <w:b/>
          <w:bCs/>
          <w:sz w:val="32"/>
          <w:szCs w:val="32"/>
        </w:rPr>
        <w:t xml:space="preserve">Chapter 8  Limitations</w:t>
      </w:r>
    </w:p>
    <w:p>
      <w:pPr>
        <w:pStyle w:val="ListParagraph"/>
        <w:numPr>
          <w:ilvl w:val="0"/>
          <w:numId w:val="3"/>
        </w:numPr>
        <w:spacing w:after="80" w:line="276"/>
      </w:pPr>
      <w:r>
        <w:rPr>
          <w:rFonts w:ascii="Times New Roman" w:cs="Times New Roman" w:eastAsia="Times New Roman" w:hAnsi="Times New Roman"/>
          <w:sz w:val="24"/>
          <w:szCs w:val="24"/>
        </w:rPr>
        <w:t xml:space="preserve">Threat model: HarmBench was evaluated in its standard direct-request configuration only; no attack or jailbreak augmentation was applied. All safety findings, including the headline null, are scoped to direct requests and do not establish robustness under optimised adversarial attack.</w:t>
      </w:r>
    </w:p>
    <w:p>
      <w:pPr>
        <w:pStyle w:val="ListParagraph"/>
        <w:numPr>
          <w:ilvl w:val="0"/>
          <w:numId w:val="3"/>
        </w:numPr>
        <w:spacing w:after="80" w:line="276"/>
      </w:pPr>
      <w:r>
        <w:rPr>
          <w:rFonts w:ascii="Times New Roman" w:cs="Times New Roman" w:eastAsia="Times New Roman" w:hAnsi="Times New Roman"/>
          <w:sz w:val="24"/>
          <w:szCs w:val="24"/>
        </w:rPr>
        <w:t xml:space="preserve">Sample size and power: 200 HarmBench prompts give wide (about ±0.05) confidence intervals; the minimum detectable ΔASR at 80% power is about 0.06, so effects below that floor cannot be ruled out (the smallest pair's multi-seed sign-consistency is compatible with one).</w:t>
      </w:r>
    </w:p>
    <w:p>
      <w:pPr>
        <w:pStyle w:val="ListParagraph"/>
        <w:numPr>
          <w:ilvl w:val="0"/>
          <w:numId w:val="3"/>
        </w:numPr>
        <w:spacing w:after="80" w:line="276"/>
      </w:pPr>
      <w:r>
        <w:rPr>
          <w:rFonts w:ascii="Times New Roman" w:cs="Times New Roman" w:eastAsia="Times New Roman" w:hAnsi="Times New Roman"/>
          <w:sz w:val="24"/>
          <w:szCs w:val="24"/>
        </w:rPr>
        <w:t xml:space="preserve">Decoding: the primary results condition on a single greedy decode; the multi-seed arm covers three of the five pairs (Qwen 1.7B, Qwen 4B, Llama), so a full-matrix stochastic estimate is outstanding.</w:t>
      </w:r>
    </w:p>
    <w:p>
      <w:pPr>
        <w:pStyle w:val="ListParagraph"/>
        <w:numPr>
          <w:ilvl w:val="0"/>
          <w:numId w:val="3"/>
        </w:numPr>
        <w:spacing w:after="80" w:line="276"/>
      </w:pPr>
      <w:r>
        <w:rPr>
          <w:rFonts w:ascii="Times New Roman" w:cs="Times New Roman" w:eastAsia="Times New Roman" w:hAnsi="Times New Roman"/>
          <w:sz w:val="24"/>
          <w:szCs w:val="24"/>
        </w:rPr>
        <w:t xml:space="preserve">Judge grounding: the HarmBench classifier is now grounded against human labels on a stratified 200-item subset (classifier κ 0.59 vs regex 0.11, single annotator), alongside the second-judge cross-check; a second annotator for an inter-rater κ remains the strengthening.</w:t>
      </w:r>
    </w:p>
    <w:p>
      <w:pPr>
        <w:pStyle w:val="ListParagraph"/>
        <w:numPr>
          <w:ilvl w:val="0"/>
          <w:numId w:val="3"/>
        </w:numPr>
        <w:spacing w:after="80" w:line="276"/>
      </w:pPr>
      <w:r>
        <w:rPr>
          <w:rFonts w:ascii="Times New Roman" w:cs="Times New Roman" w:eastAsia="Times New Roman" w:hAnsi="Times New Roman"/>
          <w:sz w:val="24"/>
          <w:szCs w:val="24"/>
        </w:rPr>
        <w:t xml:space="preserve">Quantization coverage: two bitsandbytes methods (NF4, INT8); GPTQ, AWQ, and GGUF (the dominant on-device deployment format) are out of scope, so the null may be method-specific.</w:t>
      </w:r>
    </w:p>
    <w:p>
      <w:pPr>
        <w:pStyle w:val="ListParagraph"/>
        <w:numPr>
          <w:ilvl w:val="0"/>
          <w:numId w:val="3"/>
        </w:numPr>
        <w:spacing w:after="80" w:line="276"/>
      </w:pPr>
      <w:r>
        <w:rPr>
          <w:rFonts w:ascii="Times New Roman" w:cs="Times New Roman" w:eastAsia="Times New Roman" w:hAnsi="Times New Roman"/>
          <w:sz w:val="24"/>
          <w:szCs w:val="24"/>
        </w:rPr>
        <w:t xml:space="preserve">Generation budget: absolute ASR is budget-dependent by construction (complete generations give more room for harmful content to appear), which is controlled here by adopting HarmBench's standardized 512-token budget; the 128-era signals are budget artefacts retained only as the generation-length comparison (Qwen3-1.7B NF4 +0.055 via truncation; Llama-3B INT8 +0.040 via cross-run greedy divergence, since Llama truncates at only 3 to 4 percent).</w:t>
      </w:r>
    </w:p>
    <w:p>
      <w:pPr>
        <w:pStyle w:val="ListParagraph"/>
        <w:numPr>
          <w:ilvl w:val="0"/>
          <w:numId w:val="3"/>
        </w:numPr>
        <w:spacing w:after="80" w:line="276"/>
      </w:pPr>
      <w:r>
        <w:rPr>
          <w:rFonts w:ascii="Times New Roman" w:cs="Times New Roman" w:eastAsia="Times New Roman" w:hAnsi="Times New Roman"/>
          <w:sz w:val="24"/>
          <w:szCs w:val="24"/>
        </w:rPr>
        <w:t xml:space="preserve">Generation stopping: the generation loop halts only on the tokenizer's default end-of-sequence token, so responses can run past the model's completed answer into synthetic follow-up turns (the model role-playing both sides of a dialogue), which skip_special_tokens decoding saves as a run-on. This is a decoding-configuration artefact: it inflates response length but is produced identically by both pair members, so it cancels in every matched-pair delta, and the full-response classifier still scores any harmful content a continuation might contain. Stopping at the chat turn-end token is a straightforward fix for future runs.</w:t>
      </w:r>
    </w:p>
    <w:p>
      <w:pPr>
        <w:pStyle w:val="ListParagraph"/>
        <w:numPr>
          <w:ilvl w:val="0"/>
          <w:numId w:val="3"/>
        </w:numPr>
        <w:spacing w:after="80" w:line="276"/>
      </w:pPr>
      <w:r>
        <w:rPr>
          <w:rFonts w:ascii="Times New Roman" w:cs="Times New Roman" w:eastAsia="Times New Roman" w:hAnsi="Times New Roman"/>
          <w:sz w:val="24"/>
          <w:szCs w:val="24"/>
        </w:rPr>
        <w:t xml:space="preserve">Capability anchor: interpretation labels are MMLU-anchored; a formal composite-capability rule across MMLU and ARC is left to future work.</w:t>
      </w:r>
    </w:p>
    <w:p>
      <w:pPr>
        <w:pStyle w:val="Heading1"/>
        <w:pageBreakBefore/>
        <w:spacing w:after="200"/>
      </w:pPr>
      <w:r>
        <w:rPr>
          <w:rFonts w:ascii="Times New Roman" w:cs="Times New Roman" w:eastAsia="Times New Roman" w:hAnsi="Times New Roman"/>
          <w:b/>
          <w:bCs/>
          <w:sz w:val="32"/>
          <w:szCs w:val="32"/>
        </w:rPr>
        <w:t xml:space="preserve">Chapter 9  Progress and Remaining Work</w:t>
      </w:r>
    </w:p>
    <w:p>
      <w:pPr>
        <w:pStyle w:val="Heading2"/>
        <w:spacing w:after="140" w:before="200"/>
      </w:pPr>
      <w:r>
        <w:rPr>
          <w:rFonts w:ascii="Times New Roman" w:cs="Times New Roman" w:eastAsia="Times New Roman" w:hAnsi="Times New Roman"/>
          <w:b/>
          <w:bCs/>
          <w:sz w:val="27"/>
          <w:szCs w:val="27"/>
        </w:rPr>
        <w:t xml:space="preserve">9.1  Progress to date</w:t>
      </w:r>
    </w:p>
    <w:p>
      <w:pPr>
        <w:spacing w:after="160" w:line="276"/>
        <w:jc w:val="both"/>
      </w:pPr>
      <w:r>
        <w:rPr>
          <w:rFonts w:ascii="Times New Roman" w:cs="Times New Roman" w:eastAsia="Times New Roman" w:hAnsi="Times New Roman"/>
          <w:sz w:val="24"/>
          <w:szCs w:val="24"/>
        </w:rPr>
        <w:t xml:space="preserve">The experimental programme is complete. All five matched pairs across four families (Qwen3-1.7B, Qwen3-4B, Llama-3.2-3B-Instruct, Mistral-7B-Instruct-v0.3, and Phi-4-mini-instruct) have been evaluated at three precisions (fp16, INT8, NF4) on all four benchmarks (HarmBench, XSTest, MMLU, and ARC-Challenge), at both HarmBench's 512-token reference budget (the primary study) and an initial 128-token budget (retained as a controlled comparison), on the NTU TC1 GPU cluster. Harmful compliance has been scored by the official HarmBench classifier and cross-checked by a second, architecturally independent judge (GPT-4o) across all ten models, and a single-annotator human-label validation of 200 stratified responses has grounded the primary scorer against human judgment (classifier κ 0.59 versus regex 0.11). Three robustness arms are complete: a five-seed stochastic-decoding sensitivity arm (three pairs), a first-token refusal-margin mechanism probe, and the fp16 → INT8 → NF4 precision sweep. The analysis (matched-pair deltas, paired-bootstrap confidence intervals, McNemar exact tests, and Benjamini-Hochberg multiplicity control) is complete, and the supporting framework, matched-pair loading, a benchmark-plugin contract, a judge-validation layer, SLURM orchestration, 339 automated tests, and a machine claim lock that verifies every reported number against the committed artefacts, is implemented and released.</w:t>
      </w:r>
    </w:p>
    <w:p>
      <w:pPr>
        <w:spacing w:after="160" w:line="276"/>
        <w:jc w:val="both"/>
      </w:pPr>
      <w:r>
        <w:rPr>
          <w:rFonts w:ascii="Times New Roman" w:cs="Times New Roman" w:eastAsia="Times New Roman" w:hAnsi="Times New Roman"/>
          <w:sz w:val="24"/>
          <w:szCs w:val="24"/>
        </w:rPr>
        <w:t xml:space="preserve">Two of these steps were corrections rather than plan items, and Chapter 6 reports them as evidence of a self-checking methodology: the initial refusal-regex scorer was found to over-count harmful compliance and was demoted in favour of HarmBench's own fine-tuned classifier, and the initial 128-token generation budget was found to have truncated the majority of responses and manufactured an apparent safety regression, which prompted a full re-run of the entire study at HarmBench's standardized 512-token budget. Both are documented rather than hidden, because the design's ability to detect and correct its own artefacts is itself a result.</w:t>
      </w:r>
    </w:p>
    <w:p>
      <w:pPr>
        <w:pStyle w:val="Heading2"/>
        <w:spacing w:after="140" w:before="200"/>
      </w:pPr>
      <w:r>
        <w:rPr>
          <w:rFonts w:ascii="Times New Roman" w:cs="Times New Roman" w:eastAsia="Times New Roman" w:hAnsi="Times New Roman"/>
          <w:b/>
          <w:bCs/>
          <w:sz w:val="27"/>
          <w:szCs w:val="27"/>
        </w:rPr>
        <w:t xml:space="preserve">9.2  Remaining work toward the final thesis</w:t>
      </w:r>
    </w:p>
    <w:p>
      <w:pPr>
        <w:spacing w:after="160" w:line="276"/>
        <w:jc w:val="both"/>
      </w:pPr>
      <w:r>
        <w:rPr>
          <w:rFonts w:ascii="Times New Roman" w:cs="Times New Roman" w:eastAsia="Times New Roman" w:hAnsi="Times New Roman"/>
          <w:sz w:val="24"/>
          <w:szCs w:val="24"/>
        </w:rPr>
        <w:t xml:space="preserve">The study's scientific claims are established and machine-locked; the remaining work is confirmatory and extensional, and is scoped for the final thesis. In rough order of priority:</w:t>
      </w:r>
    </w:p>
    <w:p>
      <w:pPr>
        <w:pStyle w:val="ListParagraph"/>
        <w:numPr>
          <w:ilvl w:val="0"/>
          <w:numId w:val="4"/>
        </w:numPr>
        <w:spacing w:after="80" w:line="276"/>
      </w:pPr>
      <w:r>
        <w:rPr>
          <w:rFonts w:ascii="Times New Roman" w:cs="Times New Roman" w:eastAsia="Times New Roman" w:hAnsi="Times New Roman"/>
          <w:sz w:val="24"/>
          <w:szCs w:val="24"/>
        </w:rPr>
        <w:t xml:space="preserve">An adversarial-attack arm: re-run the HarmBench axis under at least one optimisation-based or LLM-mediated attack (for example GCG or PAIR) on a subset of pairs, upgrading the direct-request compliance result to a quantization-versus-safety-under-attack result. This is the highest-leverage extension of the safety axis.</w:t>
      </w:r>
    </w:p>
    <w:p>
      <w:pPr>
        <w:pStyle w:val="ListParagraph"/>
        <w:numPr>
          <w:ilvl w:val="0"/>
          <w:numId w:val="4"/>
        </w:numPr>
        <w:spacing w:after="80" w:line="276"/>
      </w:pPr>
      <w:r>
        <w:rPr>
          <w:rFonts w:ascii="Times New Roman" w:cs="Times New Roman" w:eastAsia="Times New Roman" w:hAnsi="Times New Roman"/>
          <w:sz w:val="24"/>
          <w:szCs w:val="24"/>
        </w:rPr>
        <w:t xml:space="preserve">A second human annotator (inter-rater κ and adjudication of disagreements) extending the completed single-annotator human validation (classifier κ 0.59 vs regex 0.11 against human labels), and an open-weight guard model (e.g. Llama Guard [18]) for a fully reproducible cross-check.</w:t>
      </w:r>
    </w:p>
    <w:p>
      <w:pPr>
        <w:pStyle w:val="ListParagraph"/>
        <w:numPr>
          <w:ilvl w:val="0"/>
          <w:numId w:val="4"/>
        </w:numPr>
        <w:spacing w:after="80" w:line="276"/>
      </w:pPr>
      <w:r>
        <w:rPr>
          <w:rFonts w:ascii="Times New Roman" w:cs="Times New Roman" w:eastAsia="Times New Roman" w:hAnsi="Times New Roman"/>
          <w:sz w:val="24"/>
          <w:szCs w:val="24"/>
        </w:rPr>
        <w:t xml:space="preserve">Adding genuinely different quantization families (GPTQ, AWQ, and especially GGUF, the deployment-dominant format) beyond the two bitsandbytes methods.</w:t>
      </w:r>
    </w:p>
    <w:p>
      <w:pPr>
        <w:pStyle w:val="ListParagraph"/>
        <w:numPr>
          <w:ilvl w:val="0"/>
          <w:numId w:val="4"/>
        </w:numPr>
        <w:spacing w:after="80" w:line="276"/>
      </w:pPr>
      <w:r>
        <w:rPr>
          <w:rFonts w:ascii="Times New Roman" w:cs="Times New Roman" w:eastAsia="Times New Roman" w:hAnsi="Times New Roman"/>
          <w:sz w:val="24"/>
          <w:szCs w:val="24"/>
        </w:rPr>
        <w:t xml:space="preserve">Extending the multi-seed sensitivity arm to the remaining two pairs (Mistral, Phi) for a full-matrix stochastic estimate.</w:t>
      </w:r>
    </w:p>
    <w:p>
      <w:pPr>
        <w:pStyle w:val="ListParagraph"/>
        <w:numPr>
          <w:ilvl w:val="0"/>
          <w:numId w:val="4"/>
        </w:numPr>
        <w:spacing w:after="80" w:line="276"/>
      </w:pPr>
      <w:r>
        <w:rPr>
          <w:rFonts w:ascii="Times New Roman" w:cs="Times New Roman" w:eastAsia="Times New Roman" w:hAnsi="Times New Roman"/>
          <w:sz w:val="24"/>
          <w:szCs w:val="24"/>
        </w:rPr>
        <w:t xml:space="preserve">Extending the refusal-margin probe across all three precisions, and an independent activation-space refusal-direction probe with a paired neutral-margin control and a significance test.</w:t>
      </w:r>
    </w:p>
    <w:p>
      <w:pPr>
        <w:pStyle w:val="Heading1"/>
        <w:pageBreakBefore/>
        <w:spacing w:after="200"/>
      </w:pPr>
      <w:r>
        <w:rPr>
          <w:rFonts w:ascii="Times New Roman" w:cs="Times New Roman" w:eastAsia="Times New Roman" w:hAnsi="Times New Roman"/>
          <w:b/>
          <w:bCs/>
          <w:sz w:val="32"/>
          <w:szCs w:val="32"/>
        </w:rPr>
        <w:t xml:space="preserve">Chapter 10  Conclusion</w:t>
      </w:r>
    </w:p>
    <w:p>
      <w:pPr>
        <w:spacing w:after="160" w:line="276"/>
        <w:jc w:val="both"/>
      </w:pPr>
      <w:r>
        <w:rPr>
          <w:rFonts w:ascii="Times New Roman" w:cs="Times New Roman" w:eastAsia="Times New Roman" w:hAnsi="Times New Roman"/>
          <w:sz w:val="24"/>
          <w:szCs w:val="24"/>
        </w:rPr>
        <w:t xml:space="preserve">This interim report set out to determine whether the safety changes attributed to quantization in compact LLMs are genuine alignment shifts or artefacts of capability loss, invalid scoring, or truncated generation. By combining a matched-pair design, a judge-validated primary scorer with an independent cross-check, a capability anchor, a multi-precision sweep, and the benchmark's own standardized generation budget, it reaches a calibrated answer. At the 512-token reference budget, none of the five pairs across four families shows a significant increase in harmful compliance under direct requests at four-bit NF4; not one ASR contrast survives multiplicity correction; the only individually significant safety move is a decrease; and the effects that do survive correction are capability losses and one benign-direction over-refusal change. Capability degradation is a clean cliff at four-bit, is budget-invariant, and is the robust cost of NF4 in this regime.</w:t>
      </w:r>
    </w:p>
    <w:p>
      <w:pPr>
        <w:spacing w:after="160" w:line="276"/>
        <w:jc w:val="both"/>
      </w:pPr>
      <w:r>
        <w:rPr>
          <w:rFonts w:ascii="Times New Roman" w:cs="Times New Roman" w:eastAsia="Times New Roman" w:hAnsi="Times New Roman"/>
          <w:sz w:val="24"/>
          <w:szCs w:val="24"/>
        </w:rPr>
        <w:t xml:space="preserve">Its most transferable lessons are methodological, and there are two. A refusal-counting scorer over-states harmful compliance and, uncorrected, can change a study's conclusion; safety evaluation should validate its scorer against the benchmark's own classifier and a second judge, and report chance-corrected agreement. And the generation budget is a first-class experimental parameter: a truncated budget manufactured this study's original headline result, and only re-running at the benchmark's standardized 512-token budget revealed it as an artefact. Both lessons argue for the same discipline: measure the instrument before trusting the measurement, and resist over-claiming on small, borderline effects. The open, reproducible framework that produced these results, together with the machine claim lock that ties every reported number to the committed artefacts, is the project's durable contribution, designed for others to extend to their own models, benchmarks, and quantization methods.</w:t>
      </w:r>
    </w:p>
    <w:p>
      <w:pPr>
        <w:pStyle w:val="Heading1"/>
        <w:pageBreakBefore/>
        <w:spacing w:after="200"/>
      </w:pPr>
      <w:r>
        <w:rPr>
          <w:rFonts w:ascii="Times New Roman" w:cs="Times New Roman" w:eastAsia="Times New Roman" w:hAnsi="Times New Roman"/>
          <w:b/>
          <w:bCs/>
          <w:sz w:val="32"/>
          <w:szCs w:val="32"/>
        </w:rPr>
        <w:t xml:space="preserve">References</w:t>
      </w:r>
    </w:p>
    <w:p>
      <w:pPr>
        <w:spacing w:after="90" w:line="264"/>
        <w:ind w:left="400" w:hanging="400"/>
      </w:pPr>
      <w:r>
        <w:rPr>
          <w:rFonts w:ascii="Times New Roman" w:cs="Times New Roman" w:eastAsia="Times New Roman" w:hAnsi="Times New Roman"/>
          <w:sz w:val="22"/>
          <w:szCs w:val="22"/>
        </w:rPr>
        <w:t xml:space="preserve">[1] T. Dettmers, M. Lewis, Y. Belkada, and L. Zettlemoyer, "LLM.int8(): 8-bit matrix multiplication for transformers at scale," in Proc. Advances in Neural Information Processing Systems (NeurIPS), 2022. arXiv:2208.07339.</w:t>
      </w:r>
    </w:p>
    <w:p>
      <w:pPr>
        <w:spacing w:after="90" w:line="264"/>
        <w:ind w:left="400" w:hanging="400"/>
      </w:pPr>
      <w:r>
        <w:rPr>
          <w:rFonts w:ascii="Times New Roman" w:cs="Times New Roman" w:eastAsia="Times New Roman" w:hAnsi="Times New Roman"/>
          <w:sz w:val="22"/>
          <w:szCs w:val="22"/>
        </w:rPr>
        <w:t xml:space="preserve">[2] T. Dettmers, A. Pagnoni, A. Holtzman, and L. Zettlemoyer, "QLoRA: Efficient finetuning of quantized LLMs," in Proc. NeurIPS, 2023. arXiv:2305.14314.</w:t>
      </w:r>
    </w:p>
    <w:p>
      <w:pPr>
        <w:spacing w:after="90" w:line="264"/>
        <w:ind w:left="400" w:hanging="400"/>
      </w:pPr>
      <w:r>
        <w:rPr>
          <w:rFonts w:ascii="Times New Roman" w:cs="Times New Roman" w:eastAsia="Times New Roman" w:hAnsi="Times New Roman"/>
          <w:sz w:val="22"/>
          <w:szCs w:val="22"/>
        </w:rPr>
        <w:t xml:space="preserve">[3] M. Mazeika et al., "HarmBench: A standardized evaluation framework for automated red teaming and robust refusal," in Proc. International Conference on Machine Learning (ICML), 2024. arXiv:2402.04249.</w:t>
      </w:r>
    </w:p>
    <w:p>
      <w:pPr>
        <w:spacing w:after="90" w:line="264"/>
        <w:ind w:left="400" w:hanging="400"/>
      </w:pPr>
      <w:r>
        <w:rPr>
          <w:rFonts w:ascii="Times New Roman" w:cs="Times New Roman" w:eastAsia="Times New Roman" w:hAnsi="Times New Roman"/>
          <w:sz w:val="22"/>
          <w:szCs w:val="22"/>
        </w:rPr>
        <w:t xml:space="preserve">[4] A. Kharinaev et al., "Investigating the impact of quantization methods on the safety and reliability of large language models," arXiv preprint arXiv:2502.15799, 2025.</w:t>
      </w:r>
    </w:p>
    <w:p>
      <w:pPr>
        <w:spacing w:after="90" w:line="264"/>
        <w:ind w:left="400" w:hanging="400"/>
      </w:pPr>
      <w:r>
        <w:rPr>
          <w:rFonts w:ascii="Times New Roman" w:cs="Times New Roman" w:eastAsia="Times New Roman" w:hAnsi="Times New Roman"/>
          <w:sz w:val="22"/>
          <w:szCs w:val="22"/>
        </w:rPr>
        <w:t xml:space="preserve">[5] Y. Belkhiter et al., "HarmLevelBench: Evaluating harm-level compliance and the impact of quantization on model alignment," arXiv preprint arXiv:2411.06835, 2024.</w:t>
      </w:r>
    </w:p>
    <w:p>
      <w:pPr>
        <w:spacing w:after="90" w:line="264"/>
        <w:ind w:left="400" w:hanging="400"/>
      </w:pPr>
      <w:r>
        <w:rPr>
          <w:rFonts w:ascii="Times New Roman" w:cs="Times New Roman" w:eastAsia="Times New Roman" w:hAnsi="Times New Roman"/>
          <w:sz w:val="22"/>
          <w:szCs w:val="22"/>
        </w:rPr>
        <w:t xml:space="preserve">[6] R. Jin et al., "A comprehensive evaluation of quantization strategies for large language models," in Findings of the Association for Computational Linguistics (ACL Findings), 2024. arXiv:2402.16775.</w:t>
      </w:r>
    </w:p>
    <w:p>
      <w:pPr>
        <w:spacing w:after="90" w:line="264"/>
        <w:ind w:left="400" w:hanging="400"/>
      </w:pPr>
      <w:r>
        <w:rPr>
          <w:rFonts w:ascii="Times New Roman" w:cs="Times New Roman" w:eastAsia="Times New Roman" w:hAnsi="Times New Roman"/>
          <w:sz w:val="22"/>
          <w:szCs w:val="22"/>
        </w:rPr>
        <w:t xml:space="preserve">[7] K. Egashira, M. Vero, R. Staab, J. He, and M. Vechev, "Exploiting LLM quantization," in Proc. Advances in Neural Information Processing Systems (NeurIPS), 2024. arXiv:2405.18137.</w:t>
      </w:r>
    </w:p>
    <w:p>
      <w:pPr>
        <w:spacing w:after="90" w:line="264"/>
        <w:ind w:left="400" w:hanging="400"/>
      </w:pPr>
      <w:r>
        <w:rPr>
          <w:rFonts w:ascii="Times New Roman" w:cs="Times New Roman" w:eastAsia="Times New Roman" w:hAnsi="Times New Roman"/>
          <w:sz w:val="22"/>
          <w:szCs w:val="22"/>
        </w:rPr>
        <w:t xml:space="preserve">[8] 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spacing w:after="90" w:line="264"/>
        <w:ind w:left="400" w:hanging="400"/>
      </w:pPr>
      <w:r>
        <w:rPr>
          <w:rFonts w:ascii="Times New Roman" w:cs="Times New Roman" w:eastAsia="Times New Roman" w:hAnsi="Times New Roman"/>
          <w:sz w:val="22"/>
          <w:szCs w:val="22"/>
        </w:rPr>
        <w:t xml:space="preserve">[9] P. Röttger, H. R. Kirk, B. Vidgen, G. Attanasio, F. Bianchi, and D. Hovy, "XSTest: A test suite for identifying exaggerated safety behaviours in large language models," in Proc. NAACL, 2024. arXiv:2308.01263.</w:t>
      </w:r>
    </w:p>
    <w:p>
      <w:pPr>
        <w:spacing w:after="90" w:line="264"/>
        <w:ind w:left="400" w:hanging="400"/>
      </w:pPr>
      <w:r>
        <w:rPr>
          <w:rFonts w:ascii="Times New Roman" w:cs="Times New Roman" w:eastAsia="Times New Roman" w:hAnsi="Times New Roman"/>
          <w:sz w:val="22"/>
          <w:szCs w:val="22"/>
        </w:rPr>
        <w:t xml:space="preserve">[10] P. Liang et al., "Holistic evaluation of language models," Transactions on Machine Learning Research (TMLR), 2023. arXiv:2211.09110.</w:t>
      </w:r>
    </w:p>
    <w:p>
      <w:pPr>
        <w:spacing w:after="90" w:line="264"/>
        <w:ind w:left="400" w:hanging="400"/>
      </w:pPr>
      <w:r>
        <w:rPr>
          <w:rFonts w:ascii="Times New Roman" w:cs="Times New Roman" w:eastAsia="Times New Roman" w:hAnsi="Times New Roman"/>
          <w:sz w:val="22"/>
          <w:szCs w:val="22"/>
        </w:rPr>
        <w:t xml:space="preserve">[11] J. Gu et al., "A survey on LLM-as-a-judge," arXiv preprint arXiv:2411.15594, 2024.</w:t>
      </w:r>
    </w:p>
    <w:p>
      <w:pPr>
        <w:spacing w:after="90" w:line="264"/>
        <w:ind w:left="400" w:hanging="400"/>
      </w:pPr>
      <w:r>
        <w:rPr>
          <w:rFonts w:ascii="Times New Roman" w:cs="Times New Roman" w:eastAsia="Times New Roman" w:hAnsi="Times New Roman"/>
          <w:sz w:val="22"/>
          <w:szCs w:val="22"/>
        </w:rPr>
        <w:t xml:space="preserve">[12] M. Krumdick et al., "No free labels: Limitations of LLM-as-a-judge without human grounding," arXiv preprint arXiv:2503.05061, 2025.</w:t>
      </w:r>
    </w:p>
    <w:p>
      <w:pPr>
        <w:spacing w:after="90" w:line="264"/>
        <w:ind w:left="400" w:hanging="400"/>
      </w:pPr>
      <w:r>
        <w:rPr>
          <w:rFonts w:ascii="Times New Roman" w:cs="Times New Roman" w:eastAsia="Times New Roman" w:hAnsi="Times New Roman"/>
          <w:sz w:val="22"/>
          <w:szCs w:val="22"/>
        </w:rPr>
        <w:t xml:space="preserve">[13] D. Hendrycks, C. Burns, S. Basart, A. Zou, M. Mazeika, D. Song, and J. Steinhardt, "Measuring massive multitask language understanding," in Proc. International Conference on Learning Representations (ICLR), 2021. arXiv:2009.03300.</w:t>
      </w:r>
    </w:p>
    <w:p>
      <w:pPr>
        <w:spacing w:after="90" w:line="264"/>
        <w:ind w:left="400" w:hanging="400"/>
      </w:pPr>
      <w:r>
        <w:rPr>
          <w:rFonts w:ascii="Times New Roman" w:cs="Times New Roman" w:eastAsia="Times New Roman" w:hAnsi="Times New Roman"/>
          <w:sz w:val="22"/>
          <w:szCs w:val="22"/>
        </w:rPr>
        <w:t xml:space="preserve">[14] P. Clark, I. Cowhey, O. Etzioni, T. Khot, A. Sabharwal, C. Schoenick, and O. Tafjord, "Think you have solved question answering? Try ARC, the AI2 reasoning challenge," arXiv preprint arXiv:1803.05457, 2018.</w:t>
      </w:r>
    </w:p>
    <w:p>
      <w:pPr>
        <w:spacing w:after="90" w:line="264"/>
        <w:ind w:left="400" w:hanging="400"/>
      </w:pPr>
      <w:r>
        <w:rPr>
          <w:rFonts w:ascii="Times New Roman" w:cs="Times New Roman" w:eastAsia="Times New Roman" w:hAnsi="Times New Roman"/>
          <w:sz w:val="22"/>
          <w:szCs w:val="22"/>
        </w:rPr>
        <w:t xml:space="preserve">[15] B. Efron and R. J. Tibshirani, An Introduction to the Bootstrap. New York: Chapman &amp; Hall, 1993.</w:t>
      </w:r>
    </w:p>
    <w:p>
      <w:pPr>
        <w:spacing w:after="90" w:line="264"/>
        <w:ind w:left="400" w:hanging="400"/>
      </w:pPr>
      <w:r>
        <w:rPr>
          <w:rFonts w:ascii="Times New Roman" w:cs="Times New Roman" w:eastAsia="Times New Roman" w:hAnsi="Times New Roman"/>
          <w:sz w:val="22"/>
          <w:szCs w:val="22"/>
        </w:rPr>
        <w:t xml:space="preserve">[16] Q. McNemar, "Note on the sampling error of the difference between correlated proportions or percentages," Psychometrika, vol. 12, no. 2, pp. 153 to 157, 1947.</w:t>
      </w:r>
    </w:p>
    <w:p>
      <w:pPr>
        <w:spacing w:after="90" w:line="264"/>
        <w:ind w:left="400" w:hanging="400"/>
      </w:pPr>
      <w:r>
        <w:rPr>
          <w:rFonts w:ascii="Times New Roman" w:cs="Times New Roman" w:eastAsia="Times New Roman" w:hAnsi="Times New Roman"/>
          <w:sz w:val="22"/>
          <w:szCs w:val="22"/>
        </w:rPr>
        <w:t xml:space="preserve">[17] I. Proskurina, L. Brun, G. Metzler, and J. Velcin, "When quantization affects confidence of large language models?," arXiv preprint arXiv:2405.00632, 2024.</w:t>
      </w:r>
    </w:p>
    <w:p>
      <w:pPr>
        <w:spacing w:after="90" w:line="264"/>
        <w:ind w:left="400" w:hanging="400"/>
      </w:pPr>
      <w:r>
        <w:rPr>
          <w:rFonts w:ascii="Times New Roman" w:cs="Times New Roman" w:eastAsia="Times New Roman" w:hAnsi="Times New Roman"/>
          <w:sz w:val="22"/>
          <w:szCs w:val="22"/>
        </w:rPr>
        <w:t xml:space="preserve">[18] H. Inan et al., "Llama Guard: LLM-based input-output safeguard for human-AI conversations," Meta AI, 2023. arXiv:2312.06674.</w:t>
      </w:r>
    </w:p>
    <w:p>
      <w:pPr>
        <w:spacing w:after="90" w:line="264"/>
        <w:ind w:left="400" w:hanging="400"/>
      </w:pPr>
      <w:r>
        <w:rPr>
          <w:rFonts w:ascii="Times New Roman" w:cs="Times New Roman" w:eastAsia="Times New Roman" w:hAnsi="Times New Roman"/>
          <w:sz w:val="22"/>
          <w:szCs w:val="22"/>
        </w:rPr>
        <w:t xml:space="preserve">[19] J. Pineau et al., "Improving reproducibility in machine learning research (a report from the NeurIPS 2019 reproducibility program)," Journal of Machine Learning Research (JMLR), vol. 22, 2021. arXiv:2003.12206.</w:t>
      </w:r>
    </w:p>
    <w:p>
      <w:pPr>
        <w:spacing w:after="90" w:line="264"/>
        <w:ind w:left="400" w:hanging="400"/>
      </w:pPr>
      <w:r>
        <w:rPr>
          <w:rFonts w:ascii="Times New Roman" w:cs="Times New Roman" w:eastAsia="Times New Roman" w:hAnsi="Times New Roman"/>
          <w:sz w:val="22"/>
          <w:szCs w:val="22"/>
        </w:rPr>
        <w:t xml:space="preserve">[20] G. K. Sandve, A. Nekrutenko, J. Taylor, and E. Hovig, "Ten simple rules for reproducible computational research," PLOS Computational Biology, vol. 9, no. 10, e1003285, 2013.</w:t>
      </w:r>
    </w:p>
    <w:p>
      <w:pPr>
        <w:spacing w:after="90" w:line="264"/>
        <w:ind w:left="400" w:hanging="400"/>
      </w:pPr>
      <w:r>
        <w:rPr>
          <w:rFonts w:ascii="Times New Roman" w:cs="Times New Roman" w:eastAsia="Times New Roman" w:hAnsi="Times New Roman"/>
          <w:sz w:val="22"/>
          <w:szCs w:val="22"/>
        </w:rPr>
        <w:t xml:space="preserve">[21] G. Wilson, J. Bryan, K. Cranston, J. Kitzes, L. Nederbragt, and T. K. Teal, "Good enough practices in scientific computing," PLOS Computational Biology, vol. 13, no. 6, e1005510, 2017.</w:t>
      </w:r>
    </w:p>
    <w:p>
      <w:pPr>
        <w:spacing w:after="90" w:line="264"/>
        <w:ind w:left="400" w:hanging="400"/>
      </w:pPr>
      <w:r>
        <w:rPr>
          <w:rFonts w:ascii="Times New Roman" w:cs="Times New Roman" w:eastAsia="Times New Roman" w:hAnsi="Times New Roman"/>
          <w:sz w:val="22"/>
          <w:szCs w:val="22"/>
        </w:rPr>
        <w:t xml:space="preserve">[22] A. M. Smith et al., "Journal of Open Source Software (JOSS): Design and first-year review," arXiv preprint arXiv:1707.02264, 2017.</w:t>
      </w:r>
    </w:p>
    <w:p>
      <w:pPr>
        <w:pStyle w:val="Heading1"/>
        <w:pageBreakBefore/>
        <w:spacing w:after="200"/>
      </w:pPr>
      <w:r>
        <w:rPr>
          <w:rFonts w:ascii="Times New Roman" w:cs="Times New Roman" w:eastAsia="Times New Roman" w:hAnsi="Times New Roman"/>
          <w:b/>
          <w:bCs/>
          <w:sz w:val="32"/>
          <w:szCs w:val="32"/>
        </w:rPr>
        <w:t xml:space="preserve">Appendix A  Reproducibility Statement</w:t>
      </w:r>
    </w:p>
    <w:p>
      <w:pPr>
        <w:spacing w:after="160" w:line="276"/>
        <w:jc w:val="both"/>
      </w:pPr>
      <w:r>
        <w:rPr>
          <w:rFonts w:ascii="Times New Roman" w:cs="Times New Roman" w:eastAsia="Times New Roman" w:hAnsi="Times New Roman"/>
          <w:sz w:val="24"/>
          <w:szCs w:val="24"/>
        </w:rPr>
        <w:t xml:space="preserve">All code, configuration, and redacted result artefacts are in the project repository. The analysis reproduces byte-for-byte from the committed sidecars without a GPU; full experiments require the gated model weights and a CUDA GPU. The project maps to the ML Reproducibility Checklist [19]: models and algorithms are described (Chapters 3 to 4); datasets, splits, and sample counts are recorded in each run summary; code and declared dependencies are released; hyper-parameters and decoding controls are recorded in every summary; the compute infrastructure is recorded; and significance procedures are specified, with multiple comparisons disclosed. The dependency set is declared with minimum-version floors (a lockfile with exact pins is a future hardening step). The repository follows recognised research-software practice (scripts rather than manual steps, fixed seeds, explicit dependencies, and a documented project structure [20], [21]) and is packaged for reuse in line with open-source-software peer-review norms [22]. Raw generations are gitignored and hash-pinned; only redacted sidecars (identifiers, booleans, scalars) are released, so the study is reproducible without redistributing harmful text. The primary artefacts live under results_512/ (the 512-token study), with the 128-token run retained under results/ as the generation-length comparison; a checksum manifest pins 300 immutable raw files across both trees and the multi-seed arm.</w:t>
      </w:r>
    </w:p>
    <w:p>
      <w:pPr>
        <w:pStyle w:val="Heading1"/>
        <w:pageBreakBefore/>
        <w:spacing w:after="200"/>
      </w:pPr>
      <w:r>
        <w:rPr>
          <w:rFonts w:ascii="Times New Roman" w:cs="Times New Roman" w:eastAsia="Times New Roman" w:hAnsi="Times New Roman"/>
          <w:b/>
          <w:bCs/>
          <w:sz w:val="32"/>
          <w:szCs w:val="32"/>
        </w:rPr>
        <w:t xml:space="preserve">Appendix B  Artefacts and Test Suite</w:t>
      </w:r>
    </w:p>
    <w:p>
      <w:pPr>
        <w:spacing w:after="160" w:line="276"/>
        <w:jc w:val="both"/>
      </w:pPr>
      <w:r>
        <w:rPr>
          <w:rFonts w:ascii="Times New Roman" w:cs="Times New Roman" w:eastAsia="Times New Roman" w:hAnsi="Times New Roman"/>
          <w:sz w:val="24"/>
          <w:szCs w:val="24"/>
        </w:rPr>
        <w:t xml:space="preserve">The framework ships 339 automated tests across the schema, loaders (including the fail-loud quantization guard), scorers, analysis mathematics (delta computation, paired bootstrap, McNemar, Cohen's κ), and the SLURM job generator; a machine claim lock (scripts/verify_report_claims.py, run inside the suite) additionally asserts every load-bearing number in the report and this interim report against the committed analysis artefacts under results_512/analysis/, so the documents cannot drift from the evidence without failing the build. Result artefacts comprise per-prompt redacted score sidecars, per-model judge summaries, and analysis files (pairwise deltas, judge agreement, the precision sweep). A checksum manifest pins the immutable raw artefacts.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jc w:val="right"/>
    </w:pPr>
    <w:r>
      <w:rPr>
        <w:rFonts w:ascii="Times New Roman" w:cs="Times New Roman" w:eastAsia="Times New Roman" w:hAnsi="Times New Roman"/>
        <w:color w:val="666666"/>
        <w:sz w:val="16"/>
        <w:szCs w:val="16"/>
      </w:rPr>
      <w:t xml:space="preserve">Safety, Capability Trade-offs in Quantized Compact LLMs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600" w:hanging="360"/>
      </w:pPr>
    </w:lvl>
  </w:abstractNum>
  <w:abstractNum w:abstractNumId="4" w15:restartNumberingAfterBreak="0">
    <w:multiLevelType w:val="hybridMultilevel"/>
    <w:lvl w:ilvl="0" w15:tentative="1">
      <w:start w:val="1"/>
      <w:numFmt w:val="decimal"/>
      <w:lvlText w:val="%1."/>
      <w:lvlJc w:val="left"/>
      <w:pPr>
        <w:ind w:left="600" w:hanging="360"/>
      </w:pPr>
    </w:lvl>
  </w:abstractNum>
  <w:abstractNum w:abstractNumId="5"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00"/>
      <w:outlineLvl w:val="1"/>
    </w:pPr>
    <w:rPr>
      <w:rFonts w:ascii="Times New Roman" w:cs="Times New Roman" w:eastAsia="Times New Roman" w:hAnsi="Times New Roman"/>
      <w:b/>
      <w:bCs/>
      <w:sz w:val="27"/>
      <w:szCs w:val="27"/>
    </w:rPr>
  </w:style>
  <w:style w:type="paragraph" w:styleId="Heading3">
    <w:name w:val="Heading 3"/>
    <w:basedOn w:val="Normal"/>
    <w:next w:val="Normal"/>
    <w:qFormat/>
    <w:pPr>
      <w:spacing w:after="120" w:before="16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61c1695507340d933a706937cdac3959c8977fa.png"/><Relationship Id="rId10" Type="http://schemas.openxmlformats.org/officeDocument/2006/relationships/image" Target="media/cd5dcc8827032c93c15d518c1fc15032529a03f9.png"/><Relationship Id="rId11" Type="http://schemas.openxmlformats.org/officeDocument/2006/relationships/image" Target="media/3d9c399833b6b55d7a6ad52d90c39978902107a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2026-07-12T05:35:33.634Z</dcterms:created>
  <dcterms:modified xsi:type="dcterms:W3CDTF">2026-07-12T05:35:33.635Z</dcterms:modified>
</cp:coreProperties>
</file>

<file path=docProps/custom.xml><?xml version="1.0" encoding="utf-8"?>
<Properties xmlns="http://schemas.openxmlformats.org/officeDocument/2006/custom-properties" xmlns:vt="http://schemas.openxmlformats.org/officeDocument/2006/docPropsVTypes"/>
</file>