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(§6.6)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(§6.6), so that survivor is scorer-dependent. Qwen3-1.7B shows a non-significant decrease (−0.024,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are classifier- and human-anchored; the over-refusal survivor is itself regex-scored, so it inherits the same weaker-construct status as the demoted proxy, and an independent three-class refusal judge does not reproduce it (§6.6),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NF4 aliases,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2026-07-12T05:35:33.415Z</dcterms:created>
  <dcterms:modified xsi:type="dcterms:W3CDTF">2026-07-12T05:35:33.415Z</dcterms:modified>
</cp:coreProperties>
</file>

<file path=docProps/custom.xml><?xml version="1.0" encoding="utf-8"?>
<Properties xmlns="http://schemas.openxmlformats.org/officeDocument/2006/custom-properties" xmlns:vt="http://schemas.openxmlformats.org/officeDocument/2006/docPropsVTypes"/>
</file>