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r>
        <w:t xml:space="preserve"> </w:t>
      </w:r>
    </w:p>
    <w:p>
      <w:pPr>
        <w:spacing w:after="80"/>
        <w:jc w:val="center"/>
      </w:pPr>
      <w:r>
        <w:rPr>
          <w:rFonts w:ascii="Calibri" w:cs="Calibri" w:eastAsia="Calibri" w:hAnsi="Calibri"/>
          <w:b/>
          <w:bCs/>
          <w:sz w:val="28"/>
          <w:szCs w:val="28"/>
        </w:rPr>
        <w:t xml:space="preserve">NANYANG TECHNOLOGICAL UNIVERSITY</w:t>
      </w:r>
    </w:p>
    <w:p>
      <w:pPr>
        <w:spacing w:after="600"/>
        <w:jc w:val="center"/>
      </w:pPr>
      <w:r>
        <w:rPr>
          <w:rFonts w:ascii="Calibri" w:cs="Calibri" w:eastAsia="Calibri" w:hAnsi="Calibri"/>
          <w:sz w:val="24"/>
          <w:szCs w:val="24"/>
        </w:rPr>
        <w:t xml:space="preserve">College of Computing and Data Science</w:t>
      </w:r>
    </w:p>
    <w:p>
      <w:pPr>
        <w:spacing w:after="80"/>
        <w:jc w:val="center"/>
      </w:pPr>
      <w:r>
        <w:rPr>
          <w:rFonts w:ascii="Calibri" w:cs="Calibri" w:eastAsia="Calibri" w:hAnsi="Calibri"/>
          <w:b/>
          <w:bCs/>
          <w:sz w:val="22"/>
          <w:szCs w:val="22"/>
        </w:rPr>
        <w:t xml:space="preserve">FINAL YEAR PROJECT</w:t>
      </w:r>
    </w:p>
    <w:p>
      <w:pPr>
        <w:spacing w:after="480"/>
        <w:jc w:val="center"/>
      </w:pPr>
      <w:r>
        <w:rPr>
          <w:rFonts w:ascii="Calibri" w:cs="Calibri" w:eastAsia="Calibri" w:hAnsi="Calibri"/>
          <w:i/>
          <w:iCs/>
          <w:sz w:val="22"/>
          <w:szCs w:val="22"/>
        </w:rPr>
        <w:t xml:space="preserve">Interim Report</w:t>
      </w:r>
    </w:p>
    <w:p>
      <w:pPr>
        <w:spacing w:after="100"/>
        <w:jc w:val="center"/>
      </w:pPr>
      <w:r>
        <w:rPr>
          <w:rFonts w:ascii="Calibri" w:cs="Calibri" w:eastAsia="Calibri" w:hAnsi="Calibri"/>
          <w:b/>
          <w:bCs/>
          <w:sz w:val="32"/>
          <w:szCs w:val="32"/>
        </w:rPr>
        <w:t xml:space="preserve">Benchmarking Ethical Performance of Open-Source LLMs:</w:t>
      </w:r>
    </w:p>
    <w:p>
      <w:pPr>
        <w:spacing w:after="800"/>
        <w:jc w:val="center"/>
      </w:pPr>
      <w:r>
        <w:rPr>
          <w:rFonts w:ascii="Calibri" w:cs="Calibri" w:eastAsia="Calibri" w:hAnsi="Calibri"/>
          <w:b/>
          <w:bCs/>
          <w:sz w:val="28"/>
          <w:szCs w:val="28"/>
        </w:rPr>
        <w:t xml:space="preserve">A Study of Safety–Capability Trade-offs in 4-bit Quantized Compact Language Models</w:t>
      </w:r>
    </w:p>
    <w:p>
      <w:pPr>
        <w:spacing w:after="200"/>
        <w:jc w:val="center"/>
      </w:pPr>
      <w:r>
        <w:rPr>
          <w:rFonts w:ascii="Calibri" w:cs="Calibri" w:eastAsia="Calibri" w:hAnsi="Calibri"/>
          <w:sz w:val="24"/>
          <w:szCs w:val="24"/>
        </w:rPr>
        <w:t xml:space="preserve">Project Code:  CCDS25-1136</w:t>
      </w:r>
    </w:p>
    <w:p>
      <w:pPr>
        <w:spacing w:after="120"/>
        <w:jc w:val="center"/>
      </w:pPr>
      <w:r>
        <w:rPr>
          <w:rFonts w:ascii="Calibri" w:cs="Calibri" w:eastAsia="Calibri" w:hAnsi="Calibri"/>
          <w:sz w:val="24"/>
          <w:szCs w:val="24"/>
        </w:rPr>
        <w:t xml:space="preserve">Student:  TAN UEI HORNG (UTAN001)</w:t>
      </w:r>
    </w:p>
    <w:p>
      <w:pPr>
        <w:spacing w:after="120"/>
        <w:jc w:val="center"/>
      </w:pPr>
      <w:r>
        <w:rPr>
          <w:rFonts w:ascii="Calibri" w:cs="Calibri" w:eastAsia="Calibri" w:hAnsi="Calibri"/>
          <w:sz w:val="24"/>
          <w:szCs w:val="24"/>
        </w:rPr>
        <w:t xml:space="preserve">Email:  UTAN001@e.ntu.edu.sg</w:t>
      </w:r>
    </w:p>
    <w:p>
      <w:pPr>
        <w:spacing w:after="800"/>
        <w:jc w:val="center"/>
      </w:pPr>
      <w:r>
        <w:rPr>
          <w:rFonts w:ascii="Calibri" w:cs="Calibri" w:eastAsia="Calibri" w:hAnsi="Calibri"/>
          <w:sz w:val="24"/>
          <w:szCs w:val="24"/>
        </w:rPr>
        <w:t xml:space="preserve">Supervisor:  Dr. Zhang Jiehuang</w:t>
      </w:r>
    </w:p>
    <w:p>
      <w:pPr>
        <w:jc w:val="center"/>
      </w:pPr>
      <w:r>
        <w:rPr>
          <w:rFonts w:ascii="Calibri" w:cs="Calibri" w:eastAsia="Calibri" w:hAnsi="Calibri"/>
          <w:i/>
          <w:iCs/>
          <w:sz w:val="24"/>
          <w:szCs w:val="24"/>
        </w:rPr>
        <w:t xml:space="preserve">23 May 2026</w:t>
      </w:r>
    </w:p>
    <w:p>
      <w:r>
        <w:br w:type="page"/>
      </w:r>
    </w:p>
    <w:p>
      <w:pPr>
        <w:pStyle w:val="Heading1"/>
        <w:spacing w:after="200" w:before="360"/>
      </w:pPr>
      <w:r>
        <w:rPr>
          <w:rFonts w:ascii="Calibri" w:cs="Calibri" w:eastAsia="Calibri" w:hAnsi="Calibri"/>
          <w:b/>
          <w:bCs/>
          <w:sz w:val="32"/>
          <w:szCs w:val="32"/>
        </w:rPr>
        <w:t xml:space="preserve">Abstract</w:t>
      </w:r>
    </w:p>
    <w:p>
      <w:pPr>
        <w:spacing w:after="160" w:line="300"/>
        <w:jc w:val="both"/>
      </w:pPr>
      <w:r>
        <w:rPr>
          <w:rFonts w:ascii="Calibri" w:cs="Calibri" w:eastAsia="Calibri" w:hAnsi="Calibri"/>
          <w:sz w:val="22"/>
          <w:szCs w:val="22"/>
        </w:rPr>
        <w:t xml:space="preserve">Compact instruction-tuned language models in the one-to-four-billion-parameter range are increasingly deployed on edge devices and consumer hardware, where four-bit quantization has become the de facto compression method for fitting them into available memory. However, quantization is not behaviourally neutral: emerging evidence suggests it can alter safety alignment, refusal calibration, and general capability in non-trivial ways. Existing large-scale ethical benchmarking efforts, such as TrustLLM, DecodingTrust, and SafetyBench, primarily evaluate full-precision mid-to-large models and do not systematically address how compression interacts with safety in the compact-deployment regime.</w:t>
      </w:r>
    </w:p>
    <w:p>
      <w:pPr>
        <w:spacing w:after="160" w:line="300"/>
        <w:jc w:val="both"/>
      </w:pPr>
      <w:r>
        <w:rPr>
          <w:rFonts w:ascii="Calibri" w:cs="Calibri" w:eastAsia="Calibri" w:hAnsi="Calibri"/>
          <w:sz w:val="22"/>
          <w:szCs w:val="22"/>
        </w:rPr>
        <w:t xml:space="preserve">This work designs and implements a research-grade benchmarking framework to study safety–capability trade-offs in four-bit quantized compact language models. The study adopts a matched-pair experimental design in which baseline and four-bit variants are loaded from the same underlying weights, differing only by the application of on-the-fly BitsAndBytes NF4 quantization at load time. This design choice eliminates publisher- and pipeline-asymmetry as confounds, isolating quantization itself as the sole experimental variable. Three model pairs are evaluated: Qwen3.5-text-2B, Qwen3.5-text-4B, and Llama-3.2-3B-Instruct as a cross-family robustness check.</w:t>
      </w:r>
    </w:p>
    <w:p>
      <w:pPr>
        <w:spacing w:after="160" w:line="300"/>
        <w:jc w:val="both"/>
      </w:pPr>
      <w:r>
        <w:rPr>
          <w:rFonts w:ascii="Calibri" w:cs="Calibri" w:eastAsia="Calibri" w:hAnsi="Calibri"/>
          <w:sz w:val="22"/>
          <w:szCs w:val="22"/>
        </w:rPr>
        <w:t xml:space="preserve">Each pair is scored on three complementary benchmarks: HarmBench (harmful compliance, measured as Attack Success Rate), XSTest (over-refusal on benign prompts), and a curated MMLU subset (general capability). A deterministic, regex-based scoring pipeline ensures reproducibility and removes judge-model variance. Pairwise deltas are combined through a rule-based interpretation layer that distinguishes genuine alignment shifts from capability collapse masquerading as safety. The benchmarking framework, three benchmark plugins, cluster job orchestration for the NTU TC1 GPU cluster, and a verification suite of 122 tests are complete; experimental runs are pending submission. This document records the full design, implementation, intended analysis, and limitations of the study.</w:t>
      </w:r>
    </w:p>
    <w:p>
      <w:pPr>
        <w:pStyle w:val="Heading1"/>
        <w:pageBreakBefore/>
        <w:spacing w:after="200" w:before="360"/>
      </w:pPr>
      <w:r>
        <w:rPr>
          <w:rFonts w:ascii="Calibri" w:cs="Calibri" w:eastAsia="Calibri" w:hAnsi="Calibri"/>
          <w:b/>
          <w:bCs/>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pStyle w:val="Heading1"/>
        <w:pageBreakBefore/>
        <w:spacing w:after="200" w:before="360"/>
      </w:pPr>
      <w:r>
        <w:rPr>
          <w:rFonts w:ascii="Calibri" w:cs="Calibri" w:eastAsia="Calibri" w:hAnsi="Calibri"/>
          <w:b/>
          <w:bCs/>
          <w:sz w:val="32"/>
          <w:szCs w:val="32"/>
        </w:rPr>
        <w:t xml:space="preserve">List of Figures and Tables</w:t>
      </w:r>
    </w:p>
    <w:p>
      <w:pPr>
        <w:spacing w:after="60" w:line="300"/>
      </w:pPr>
      <w:r>
        <w:rPr>
          <w:rFonts w:ascii="Calibri" w:cs="Calibri" w:eastAsia="Calibri" w:hAnsi="Calibri"/>
          <w:sz w:val="22"/>
          <w:szCs w:val="22"/>
        </w:rPr>
        <w:t xml:space="preserve">Table 3.1  Model pair selection matrix.</w:t>
      </w:r>
    </w:p>
    <w:p>
      <w:pPr>
        <w:spacing w:after="60" w:line="300"/>
      </w:pPr>
      <w:r>
        <w:rPr>
          <w:rFonts w:ascii="Calibri" w:cs="Calibri" w:eastAsia="Calibri" w:hAnsi="Calibri"/>
          <w:sz w:val="22"/>
          <w:szCs w:val="22"/>
        </w:rPr>
        <w:t xml:space="preserve">Table 3.2  Benchmark selection, primary metrics, and sample budgets.</w:t>
      </w:r>
    </w:p>
    <w:p>
      <w:pPr>
        <w:spacing w:after="60" w:line="300"/>
      </w:pPr>
      <w:r>
        <w:rPr>
          <w:rFonts w:ascii="Calibri" w:cs="Calibri" w:eastAsia="Calibri" w:hAnsi="Calibri"/>
          <w:sz w:val="22"/>
          <w:szCs w:val="22"/>
        </w:rPr>
        <w:t xml:space="preserve">Table 3.3  Decoding controls used during inference.</w:t>
      </w:r>
    </w:p>
    <w:p>
      <w:pPr>
        <w:spacing w:after="60" w:line="300"/>
      </w:pPr>
      <w:r>
        <w:rPr>
          <w:rFonts w:ascii="Calibri" w:cs="Calibri" w:eastAsia="Calibri" w:hAnsi="Calibri"/>
          <w:sz w:val="22"/>
          <w:szCs w:val="22"/>
        </w:rPr>
        <w:t xml:space="preserve">Table 3.4  Interpretation labels derived from combined deltas.</w:t>
      </w:r>
    </w:p>
    <w:p>
      <w:pPr>
        <w:spacing w:after="60" w:line="300"/>
      </w:pPr>
      <w:r>
        <w:rPr>
          <w:rFonts w:ascii="Calibri" w:cs="Calibri" w:eastAsia="Calibri" w:hAnsi="Calibri"/>
          <w:sz w:val="22"/>
          <w:szCs w:val="22"/>
        </w:rPr>
        <w:t xml:space="preserve">Table 4.1  Repository module responsibilities.</w:t>
      </w:r>
    </w:p>
    <w:p>
      <w:pPr>
        <w:spacing w:after="60" w:line="300"/>
      </w:pPr>
      <w:r>
        <w:rPr>
          <w:rFonts w:ascii="Calibri" w:cs="Calibri" w:eastAsia="Calibri" w:hAnsi="Calibri"/>
          <w:sz w:val="22"/>
          <w:szCs w:val="22"/>
        </w:rPr>
        <w:t xml:space="preserve">Table 4.2  CLI subcommands exposed by fyp_cli.py.</w:t>
      </w:r>
    </w:p>
    <w:p>
      <w:pPr>
        <w:spacing w:after="60" w:line="300"/>
      </w:pPr>
      <w:r>
        <w:rPr>
          <w:rFonts w:ascii="Calibri" w:cs="Calibri" w:eastAsia="Calibri" w:hAnsi="Calibri"/>
          <w:sz w:val="22"/>
          <w:szCs w:val="22"/>
        </w:rPr>
        <w:t xml:space="preserve">Table 5.1  TC1 cluster hardware and policy parameters.</w:t>
      </w:r>
    </w:p>
    <w:p>
      <w:pPr>
        <w:spacing w:after="60" w:line="300"/>
      </w:pPr>
      <w:r>
        <w:rPr>
          <w:rFonts w:ascii="Calibri" w:cs="Calibri" w:eastAsia="Calibri" w:hAnsi="Calibri"/>
          <w:sz w:val="22"/>
          <w:szCs w:val="22"/>
        </w:rPr>
        <w:t xml:space="preserve">Table 5.2  Software environment versions on TC1.</w:t>
      </w:r>
    </w:p>
    <w:p>
      <w:pPr>
        <w:spacing w:after="60" w:line="300"/>
      </w:pPr>
      <w:r>
        <w:rPr>
          <w:rFonts w:ascii="Calibri" w:cs="Calibri" w:eastAsia="Calibri" w:hAnsi="Calibri"/>
          <w:sz w:val="22"/>
          <w:szCs w:val="22"/>
        </w:rPr>
        <w:t xml:space="preserve">Table 6.1  Per-pair reporting schema.</w:t>
      </w:r>
    </w:p>
    <w:p>
      <w:pPr>
        <w:spacing w:after="60" w:line="300"/>
      </w:pPr>
      <w:r>
        <w:rPr>
          <w:rFonts w:ascii="Calibri" w:cs="Calibri" w:eastAsia="Calibri" w:hAnsi="Calibri"/>
          <w:sz w:val="22"/>
          <w:szCs w:val="22"/>
        </w:rPr>
        <w:t xml:space="preserve">Table D.1  Distribution of automated tests across modules.</w:t>
      </w:r>
    </w:p>
    <w:p>
      <w:pPr>
        <w:pStyle w:val="Heading1"/>
        <w:pageBreakBefore/>
        <w:spacing w:after="200" w:before="360"/>
      </w:pPr>
      <w:r>
        <w:rPr>
          <w:rFonts w:ascii="Calibri" w:cs="Calibri" w:eastAsia="Calibri" w:hAnsi="Calibri"/>
          <w:b/>
          <w:bCs/>
          <w:sz w:val="32"/>
          <w:szCs w:val="32"/>
        </w:rPr>
        <w:t xml:space="preserve">Chapter 1 — Introduction</w:t>
      </w:r>
    </w:p>
    <w:p>
      <w:pPr>
        <w:pStyle w:val="Heading2"/>
        <w:spacing w:after="140" w:before="280"/>
      </w:pPr>
      <w:r>
        <w:rPr>
          <w:rFonts w:ascii="Calibri" w:cs="Calibri" w:eastAsia="Calibri" w:hAnsi="Calibri"/>
          <w:b/>
          <w:bCs/>
          <w:sz w:val="26"/>
          <w:szCs w:val="26"/>
        </w:rPr>
        <w:t xml:space="preserve">1.1 Background and Motivation</w:t>
      </w:r>
    </w:p>
    <w:p>
      <w:pPr>
        <w:spacing w:after="160" w:line="300"/>
        <w:jc w:val="both"/>
      </w:pPr>
      <w:r>
        <w:rPr>
          <w:rFonts w:ascii="Calibri" w:cs="Calibri" w:eastAsia="Calibri" w:hAnsi="Calibri"/>
          <w:sz w:val="22"/>
          <w:szCs w:val="22"/>
        </w:rPr>
        <w:t xml:space="preserve">The last two years have seen a rapid proliferation of compact instruction-tuned large language models (LLMs) in the one-to-four-billion-parameter range. Models such as Qwen 2.5 and 3.x, Llama 3.2, Microsoft Phi-3, and Google Gemma 2 have demonstrated that capable reasoning, instruction following, and multilingual performance are achievable at parameter counts that fit comfortably on consumer hardware, mobile chipsets, and edge accelerators. This has shifted the practical envelope of LLM deployment: tasks that previously required cloud-hosted seven-to-seventy-billion-parameter models can now be executed locally, with stronger privacy guarantees, lower latency, and substantially reduced operational cost.</w:t>
      </w:r>
    </w:p>
    <w:p>
      <w:pPr>
        <w:spacing w:after="160" w:line="300"/>
        <w:jc w:val="both"/>
      </w:pPr>
      <w:r>
        <w:rPr>
          <w:rFonts w:ascii="Calibri" w:cs="Calibri" w:eastAsia="Calibri" w:hAnsi="Calibri"/>
          <w:sz w:val="22"/>
          <w:szCs w:val="22"/>
        </w:rPr>
        <w:t xml:space="preserve">In practice, however, such models are rarely deployed in full precision. Memory budgets on consumer GPUs, mobile devices, and laptop NPUs make sixteen-bit or higher precision impractical for routine use, and quantization to four-bit precision has become the de facto compression standard for on-device inference. Lightweight runtimes such as llama.cpp and on-device agent frameworks routinely ship four-bit GGUF or BitsAndBytes NF4 checkpoints by default. End users encountering these models therefore almost always interact with a quantized variant, not the original baseline.</w:t>
      </w:r>
    </w:p>
    <w:p>
      <w:pPr>
        <w:spacing w:after="160" w:line="300"/>
        <w:jc w:val="both"/>
      </w:pPr>
      <w:r>
        <w:rPr>
          <w:rFonts w:ascii="Calibri" w:cs="Calibri" w:eastAsia="Calibri" w:hAnsi="Calibri"/>
          <w:sz w:val="22"/>
          <w:szCs w:val="22"/>
        </w:rPr>
        <w:t xml:space="preserve">Quantization has historically been treated as a numerical optimisation technique whose primary cost is a small loss in perplexity or downstream accuracy. A growing body of evidence challenges this view. Quantization can alter behavioural properties of an LLM in ways that are not visible from perplexity alone, including instruction-following fidelity, refusal calibration, and resistance to adversarial prompts. Because safety alignment is itself a learned behaviour encoded in the model weights, any operation that alters those weights — even one that preserves task accuracy on average — has the potential to perturb that behaviour. Understanding how compression interacts with safety is therefore not optional: it is a prerequisite to safe deployment of any compact model that has been quantized for production use.</w:t>
      </w:r>
    </w:p>
    <w:p>
      <w:pPr>
        <w:pStyle w:val="Heading2"/>
        <w:spacing w:after="140" w:before="280"/>
      </w:pPr>
      <w:r>
        <w:rPr>
          <w:rFonts w:ascii="Calibri" w:cs="Calibri" w:eastAsia="Calibri" w:hAnsi="Calibri"/>
          <w:b/>
          <w:bCs/>
          <w:sz w:val="26"/>
          <w:szCs w:val="26"/>
        </w:rPr>
        <w:t xml:space="preserve">1.2 Problem Statement</w:t>
      </w:r>
    </w:p>
    <w:p>
      <w:pPr>
        <w:spacing w:after="160" w:line="300"/>
        <w:jc w:val="both"/>
      </w:pPr>
      <w:r>
        <w:rPr>
          <w:rFonts w:ascii="Calibri" w:cs="Calibri" w:eastAsia="Calibri" w:hAnsi="Calibri"/>
          <w:sz w:val="22"/>
          <w:szCs w:val="22"/>
        </w:rPr>
        <w:t xml:space="preserve">This work addresses a single, deliberately scoped research problem:</w:t>
      </w:r>
    </w:p>
    <w:p>
      <w:pPr>
        <w:spacing w:after="200" w:before="80"/>
        <w:jc w:val="center"/>
      </w:pPr>
      <w:r>
        <w:rPr>
          <w:rFonts w:ascii="Calibri" w:cs="Calibri" w:eastAsia="Calibri" w:hAnsi="Calibri"/>
          <w:i/>
          <w:iCs/>
          <w:sz w:val="22"/>
          <w:szCs w:val="22"/>
        </w:rPr>
        <w:t xml:space="preserve">When a small language model is quantized to four-bit precision for deployment, do observed changes in safety behaviour reflect a true shift in alignment, or are they a side-effect of degraded general capability?</w:t>
      </w:r>
    </w:p>
    <w:p>
      <w:pPr>
        <w:spacing w:after="160" w:line="300"/>
        <w:jc w:val="both"/>
      </w:pPr>
      <w:r>
        <w:rPr>
          <w:rFonts w:ascii="Calibri" w:cs="Calibri" w:eastAsia="Calibri" w:hAnsi="Calibri"/>
          <w:sz w:val="22"/>
          <w:szCs w:val="22"/>
        </w:rPr>
        <w:t xml:space="preserve">The distinction matters. A model that becomes more refusal-prone after quantization could plausibly be reported as "safer" by a benchmark that measures only harmful compliance. The same model, measured on benign prompts, may also refuse those — exhibiting over-refusal — and on capability benchmarks may answer fewer questions correctly. Without a joint evaluation of harmful compliance, over-refusal, and capability, the safety community risks systematically misattributing capability collapse as safety improvement. The problem statement above directly motivates the multi-axis evaluation framework adopted in this study.</w:t>
      </w:r>
    </w:p>
    <w:p>
      <w:pPr>
        <w:pStyle w:val="Heading2"/>
        <w:spacing w:after="140" w:before="280"/>
      </w:pPr>
      <w:r>
        <w:rPr>
          <w:rFonts w:ascii="Calibri" w:cs="Calibri" w:eastAsia="Calibri" w:hAnsi="Calibri"/>
          <w:b/>
          <w:bCs/>
          <w:sz w:val="26"/>
          <w:szCs w:val="26"/>
        </w:rPr>
        <w:t xml:space="preserve">1.3 Research Questions</w:t>
      </w:r>
    </w:p>
    <w:p>
      <w:pPr>
        <w:spacing w:after="160" w:line="300"/>
        <w:jc w:val="both"/>
      </w:pPr>
      <w:r>
        <w:rPr>
          <w:rFonts w:ascii="Calibri" w:cs="Calibri" w:eastAsia="Calibri" w:hAnsi="Calibri"/>
          <w:sz w:val="22"/>
          <w:szCs w:val="22"/>
        </w:rPr>
        <w:t xml:space="preserve">The study is organised around five research questions. The first three are primary questions answered directly by the matched-pair experiments. The remaining two examine secondary dimensions: scale sensitivity within a family, and replication across families.</w:t>
      </w:r>
    </w:p>
    <w:p>
      <w:pPr>
        <w:pStyle w:val="ListParagraph"/>
        <w:numPr>
          <w:ilvl w:val="0"/>
          <w:numId w:val="2"/>
        </w:numPr>
        <w:spacing w:after="80" w:line="280"/>
      </w:pPr>
      <w:r>
        <w:rPr>
          <w:rFonts w:ascii="Calibri" w:cs="Calibri" w:eastAsia="Calibri" w:hAnsi="Calibri"/>
          <w:sz w:val="22"/>
          <w:szCs w:val="22"/>
        </w:rPr>
        <w:t xml:space="preserve">RQ1 (Primary). Does four-bit NF4 quantization measurably change harmful-compliance behaviour, as measured by HarmBench Attack Success Rate, relative to matched baseline weights in compact instruction-tuned models?</w:t>
      </w:r>
    </w:p>
    <w:p>
      <w:pPr>
        <w:pStyle w:val="ListParagraph"/>
        <w:numPr>
          <w:ilvl w:val="0"/>
          <w:numId w:val="2"/>
        </w:numPr>
        <w:spacing w:after="80" w:line="280"/>
      </w:pPr>
      <w:r>
        <w:rPr>
          <w:rFonts w:ascii="Calibri" w:cs="Calibri" w:eastAsia="Calibri" w:hAnsi="Calibri"/>
          <w:sz w:val="22"/>
          <w:szCs w:val="22"/>
        </w:rPr>
        <w:t xml:space="preserve">RQ2 (Primary). Does four-bit quantization change over-refusal behaviour on benign prompts, as measured by XSTest?</w:t>
      </w:r>
    </w:p>
    <w:p>
      <w:pPr>
        <w:pStyle w:val="ListParagraph"/>
        <w:numPr>
          <w:ilvl w:val="0"/>
          <w:numId w:val="2"/>
        </w:numPr>
        <w:spacing w:after="80" w:line="280"/>
      </w:pPr>
      <w:r>
        <w:rPr>
          <w:rFonts w:ascii="Calibri" w:cs="Calibri" w:eastAsia="Calibri" w:hAnsi="Calibri"/>
          <w:sz w:val="22"/>
          <w:szCs w:val="22"/>
        </w:rPr>
        <w:t xml:space="preserve">RQ3 (Primary). Does four-bit quantization degrade general capability, as measured by accuracy on a curated MMLU subset?</w:t>
      </w:r>
    </w:p>
    <w:p>
      <w:pPr>
        <w:pStyle w:val="ListParagraph"/>
        <w:numPr>
          <w:ilvl w:val="0"/>
          <w:numId w:val="2"/>
        </w:numPr>
        <w:spacing w:after="80" w:line="280"/>
      </w:pPr>
      <w:r>
        <w:rPr>
          <w:rFonts w:ascii="Calibri" w:cs="Calibri" w:eastAsia="Calibri" w:hAnsi="Calibri"/>
          <w:sz w:val="22"/>
          <w:szCs w:val="22"/>
        </w:rPr>
        <w:t xml:space="preserve">RQ4 (Secondary, scale). Does the magnitude of the quantization effect differ between Qwen 2B and Qwen 4B within the same model family?</w:t>
      </w:r>
    </w:p>
    <w:p>
      <w:pPr>
        <w:pStyle w:val="ListParagraph"/>
        <w:numPr>
          <w:ilvl w:val="0"/>
          <w:numId w:val="2"/>
        </w:numPr>
        <w:spacing w:after="80" w:line="280"/>
      </w:pPr>
      <w:r>
        <w:rPr>
          <w:rFonts w:ascii="Calibri" w:cs="Calibri" w:eastAsia="Calibri" w:hAnsi="Calibri"/>
          <w:sz w:val="22"/>
          <w:szCs w:val="22"/>
        </w:rPr>
        <w:t xml:space="preserve">RQ5 (Robustness). Does the pattern observed within the Qwen family replicate qualitatively in a different model family, namely Llama 3.2 3B?</w:t>
      </w:r>
    </w:p>
    <w:p>
      <w:pPr>
        <w:pStyle w:val="Heading2"/>
        <w:spacing w:after="140" w:before="280"/>
      </w:pPr>
      <w:r>
        <w:rPr>
          <w:rFonts w:ascii="Calibri" w:cs="Calibri" w:eastAsia="Calibri" w:hAnsi="Calibri"/>
          <w:b/>
          <w:bCs/>
          <w:sz w:val="26"/>
          <w:szCs w:val="26"/>
        </w:rPr>
        <w:t xml:space="preserve">1.4 Scope and Boundaries</w:t>
      </w:r>
    </w:p>
    <w:p>
      <w:pPr>
        <w:spacing w:after="160" w:line="300"/>
        <w:jc w:val="both"/>
      </w:pPr>
      <w:r>
        <w:rPr>
          <w:rFonts w:ascii="Calibri" w:cs="Calibri" w:eastAsia="Calibri" w:hAnsi="Calibri"/>
          <w:sz w:val="22"/>
          <w:szCs w:val="22"/>
        </w:rPr>
        <w:t xml:space="preserve">Explicit scoping is essential to make the study tractable within the constraints of an undergraduate Final Year Project and to keep the resulting claims defensible. The following boundaries are stated up front.</w:t>
      </w:r>
    </w:p>
    <w:p>
      <w:pPr>
        <w:pStyle w:val="ListParagraph"/>
        <w:numPr>
          <w:ilvl w:val="0"/>
          <w:numId w:val="2"/>
        </w:numPr>
        <w:spacing w:after="80" w:line="280"/>
      </w:pPr>
      <w:r>
        <w:rPr>
          <w:rFonts w:ascii="Calibri" w:cs="Calibri" w:eastAsia="Calibri" w:hAnsi="Calibri"/>
          <w:sz w:val="22"/>
          <w:szCs w:val="22"/>
        </w:rPr>
        <w:t xml:space="preserve">Quantization method. The study evaluates a single quantization path: BitsAndBytes NF4 four-bit loading applied on the fly via the Hugging Face transformers integration. Alternative methods such as GPTQ, AWQ, and GGUF are out of scope and are flagged in the Future Work chapter.</w:t>
      </w:r>
    </w:p>
    <w:p>
      <w:pPr>
        <w:pStyle w:val="ListParagraph"/>
        <w:numPr>
          <w:ilvl w:val="0"/>
          <w:numId w:val="2"/>
        </w:numPr>
        <w:spacing w:after="80" w:line="280"/>
      </w:pPr>
      <w:r>
        <w:rPr>
          <w:rFonts w:ascii="Calibri" w:cs="Calibri" w:eastAsia="Calibri" w:hAnsi="Calibri"/>
          <w:sz w:val="22"/>
          <w:szCs w:val="22"/>
        </w:rPr>
        <w:t xml:space="preserve">Model regime. The study targets compact instruction-tuned models in the two-to-four-billion-parameter range. This regime corresponds to the practical envelope of contemporary on-device deployment.</w:t>
      </w:r>
    </w:p>
    <w:p>
      <w:pPr>
        <w:pStyle w:val="ListParagraph"/>
        <w:numPr>
          <w:ilvl w:val="0"/>
          <w:numId w:val="2"/>
        </w:numPr>
        <w:spacing w:after="80" w:line="280"/>
      </w:pPr>
      <w:r>
        <w:rPr>
          <w:rFonts w:ascii="Calibri" w:cs="Calibri" w:eastAsia="Calibri" w:hAnsi="Calibri"/>
          <w:sz w:val="22"/>
          <w:szCs w:val="22"/>
        </w:rPr>
        <w:t xml:space="preserve">Languages and modality. Evaluation is restricted to English-language, text-only interactions.</w:t>
      </w:r>
    </w:p>
    <w:p>
      <w:pPr>
        <w:pStyle w:val="ListParagraph"/>
        <w:numPr>
          <w:ilvl w:val="0"/>
          <w:numId w:val="2"/>
        </w:numPr>
        <w:spacing w:after="80" w:line="280"/>
      </w:pPr>
      <w:r>
        <w:rPr>
          <w:rFonts w:ascii="Calibri" w:cs="Calibri" w:eastAsia="Calibri" w:hAnsi="Calibri"/>
          <w:sz w:val="22"/>
          <w:szCs w:val="22"/>
        </w:rPr>
        <w:t xml:space="preserve">Decoding. All inference uses deterministic greedy decoding with temperature 0.0 and top-p 1.0, both to eliminate within-condition variance and to maximise comparability across baseline and quantized pair members.</w:t>
      </w:r>
    </w:p>
    <w:p>
      <w:pPr>
        <w:pStyle w:val="ListParagraph"/>
        <w:numPr>
          <w:ilvl w:val="0"/>
          <w:numId w:val="2"/>
        </w:numPr>
        <w:spacing w:after="80" w:line="280"/>
      </w:pPr>
      <w:r>
        <w:rPr>
          <w:rFonts w:ascii="Calibri" w:cs="Calibri" w:eastAsia="Calibri" w:hAnsi="Calibri"/>
          <w:sz w:val="22"/>
          <w:szCs w:val="22"/>
        </w:rPr>
        <w:t xml:space="preserve">Benchmark axes. Rather than attempting a broad multi-axis ethical evaluation, which is already covered by larger institutional benchmarks, this study evaluates three complementary axes that jointly enable the alignment-versus-capability disambiguation that motivates the research question.</w:t>
      </w:r>
    </w:p>
    <w:p>
      <w:pPr>
        <w:pStyle w:val="Heading2"/>
        <w:spacing w:after="140" w:before="280"/>
      </w:pPr>
      <w:r>
        <w:rPr>
          <w:rFonts w:ascii="Calibri" w:cs="Calibri" w:eastAsia="Calibri" w:hAnsi="Calibri"/>
          <w:b/>
          <w:bCs/>
          <w:sz w:val="26"/>
          <w:szCs w:val="26"/>
        </w:rPr>
        <w:t xml:space="preserve">1.5 Contributions</w:t>
      </w:r>
    </w:p>
    <w:p>
      <w:pPr>
        <w:spacing w:after="160" w:line="300"/>
        <w:jc w:val="both"/>
      </w:pPr>
      <w:r>
        <w:rPr>
          <w:rFonts w:ascii="Calibri" w:cs="Calibri" w:eastAsia="Calibri" w:hAnsi="Calibri"/>
          <w:sz w:val="22"/>
          <w:szCs w:val="22"/>
        </w:rPr>
        <w:t xml:space="preserve">The contributions of this project span experimental design, software engineering, and analytical methodology.</w:t>
      </w:r>
    </w:p>
    <w:p>
      <w:pPr>
        <w:pStyle w:val="ListParagraph"/>
        <w:numPr>
          <w:ilvl w:val="0"/>
          <w:numId w:val="3"/>
        </w:numPr>
        <w:spacing w:after="80" w:line="280"/>
      </w:pPr>
      <w:r>
        <w:rPr>
          <w:rFonts w:ascii="Calibri" w:cs="Calibri" w:eastAsia="Calibri" w:hAnsi="Calibri"/>
          <w:sz w:val="22"/>
          <w:szCs w:val="22"/>
        </w:rPr>
        <w:t xml:space="preserve">A controlled matched-pair study design that isolates quantization as the sole experimental variable. Both members of every pair are loaded from the same underlying model_id; the only difference is whether on-the-fly NF4 quantization is applied during the from_pretrained call. This eliminates publisher-asymmetry and conversion-pipeline asymmetry — two confounds that affect most published comparisons of quantized and full-precision checkpoints.</w:t>
      </w:r>
    </w:p>
    <w:p>
      <w:pPr>
        <w:pStyle w:val="ListParagraph"/>
        <w:numPr>
          <w:ilvl w:val="0"/>
          <w:numId w:val="3"/>
        </w:numPr>
        <w:spacing w:after="80" w:line="280"/>
      </w:pPr>
      <w:r>
        <w:rPr>
          <w:rFonts w:ascii="Calibri" w:cs="Calibri" w:eastAsia="Calibri" w:hAnsi="Calibri"/>
          <w:sz w:val="22"/>
          <w:szCs w:val="22"/>
        </w:rPr>
        <w:t xml:space="preserve">An open, reproducible benchmarking framework consisting of approximately 2,800 lines of production Python and approximately 1,800 lines of automated tests. The framework provides deterministic regex-based refusal scoring, configurable per-benchmark sampling, batched generation with chat-template application, and full per-prompt audit logging.</w:t>
      </w:r>
    </w:p>
    <w:p>
      <w:pPr>
        <w:pStyle w:val="ListParagraph"/>
        <w:numPr>
          <w:ilvl w:val="0"/>
          <w:numId w:val="3"/>
        </w:numPr>
        <w:spacing w:after="80" w:line="280"/>
      </w:pPr>
      <w:r>
        <w:rPr>
          <w:rFonts w:ascii="Calibri" w:cs="Calibri" w:eastAsia="Calibri" w:hAnsi="Calibri"/>
          <w:sz w:val="22"/>
          <w:szCs w:val="22"/>
        </w:rPr>
        <w:t xml:space="preserve">A rule-based interpretation layer that combines harmful-compliance, over-refusal, and capability deltas into one of four diagnostic labels: alignment degradation, capability collapse masquerading as safety, robust preservation, or broad degradation. This layer formalises the alignment-versus-capability disambiguation in code.</w:t>
      </w:r>
    </w:p>
    <w:p>
      <w:pPr>
        <w:pStyle w:val="ListParagraph"/>
        <w:numPr>
          <w:ilvl w:val="0"/>
          <w:numId w:val="3"/>
        </w:numPr>
        <w:spacing w:after="80" w:line="280"/>
      </w:pPr>
      <w:r>
        <w:rPr>
          <w:rFonts w:ascii="Calibri" w:cs="Calibri" w:eastAsia="Calibri" w:hAnsi="Calibri"/>
          <w:sz w:val="22"/>
          <w:szCs w:val="22"/>
        </w:rPr>
        <w:t xml:space="preserve">SLURM cluster orchestration for the NTU TC1 GPU cluster, including resumable per-model matrix jobs that load each model only once and execute all three benchmarks sequentially. Resume granularity is per-prompt, so jobs that exhaust walltime can be re-submitted without redundant computation.</w:t>
      </w:r>
    </w:p>
    <w:p>
      <w:pPr>
        <w:pStyle w:val="ListParagraph"/>
        <w:numPr>
          <w:ilvl w:val="0"/>
          <w:numId w:val="3"/>
        </w:numPr>
        <w:spacing w:after="80" w:line="280"/>
      </w:pPr>
      <w:r>
        <w:rPr>
          <w:rFonts w:ascii="Calibri" w:cs="Calibri" w:eastAsia="Calibri" w:hAnsi="Calibri"/>
          <w:sz w:val="22"/>
          <w:szCs w:val="22"/>
        </w:rPr>
        <w:t xml:space="preserve">A verification suite of 122 automated tests across twelve test files, covering schema validation, dataset loaders, the refusal parser, SLURM job generation, matrix reuse behaviour, and analysis logic.</w:t>
      </w:r>
    </w:p>
    <w:p>
      <w:pPr>
        <w:pStyle w:val="Heading2"/>
        <w:spacing w:after="140" w:before="280"/>
      </w:pPr>
      <w:r>
        <w:rPr>
          <w:rFonts w:ascii="Calibri" w:cs="Calibri" w:eastAsia="Calibri" w:hAnsi="Calibri"/>
          <w:b/>
          <w:bCs/>
          <w:sz w:val="26"/>
          <w:szCs w:val="26"/>
        </w:rPr>
        <w:t xml:space="preserve">1.6 Report Structure</w:t>
      </w:r>
    </w:p>
    <w:p>
      <w:pPr>
        <w:spacing w:after="160" w:line="300"/>
        <w:jc w:val="both"/>
      </w:pPr>
      <w:r>
        <w:rPr>
          <w:rFonts w:ascii="Calibri" w:cs="Calibri" w:eastAsia="Calibri" w:hAnsi="Calibri"/>
          <w:sz w:val="22"/>
          <w:szCs w:val="22"/>
        </w:rPr>
        <w:t xml:space="preserve">Chapter 2 surveys the relevant literature on large-scale ethical benchmarking, the helpfulness–harmlessness trade-off, the deployment of compact LLMs, and the behavioural effects of quantization, concluding with the specific research gaps that this study targets. Chapter 3 details the experimental methodology, including the matched-pair design, quantization approach, benchmark selection, scoring, decoding controls, and the interpretation framework. Chapter 4 documents the system design and implementation: package structure, configuration schema, the model loader and generation pipeline, the benchmark plugin architecture, matrix orchestration, resume logic, and SLURM job generation. Chapter 5 describes the experimental setup on TC1 and the run plan. Chapter 6 presents the intended results and analysis plan; experimental runs are pending and will populate this chapter in the final report. Chapter 7 discusses threats to validity, Chapter 8 records limitations, and Chapter 9 proposes future work. Chapter 10 concludes. Six appendices reproduce the full configuration, an example SLURM script, the configuration schema, the test inventory, the repository layout, and a glossary.</w:t>
      </w:r>
    </w:p>
    <w:p>
      <w:pPr>
        <w:pStyle w:val="Heading1"/>
        <w:pageBreakBefore/>
        <w:spacing w:after="200" w:before="360"/>
      </w:pPr>
      <w:r>
        <w:rPr>
          <w:rFonts w:ascii="Calibri" w:cs="Calibri" w:eastAsia="Calibri" w:hAnsi="Calibri"/>
          <w:b/>
          <w:bCs/>
          <w:sz w:val="32"/>
          <w:szCs w:val="32"/>
        </w:rPr>
        <w:t xml:space="preserve">Chapter 2 — Literature Review</w:t>
      </w:r>
    </w:p>
    <w:p>
      <w:pPr>
        <w:pStyle w:val="Heading2"/>
        <w:spacing w:after="140" w:before="280"/>
      </w:pPr>
      <w:r>
        <w:rPr>
          <w:rFonts w:ascii="Calibri" w:cs="Calibri" w:eastAsia="Calibri" w:hAnsi="Calibri"/>
          <w:b/>
          <w:bCs/>
          <w:sz w:val="26"/>
          <w:szCs w:val="26"/>
        </w:rPr>
        <w:t xml:space="preserve">2.1 Large-Scale Ethical Benchmarking of LLMs</w:t>
      </w:r>
    </w:p>
    <w:p>
      <w:pPr>
        <w:spacing w:after="160" w:line="300"/>
        <w:jc w:val="both"/>
      </w:pPr>
      <w:r>
        <w:rPr>
          <w:rFonts w:ascii="Calibri" w:cs="Calibri" w:eastAsia="Calibri" w:hAnsi="Calibri"/>
          <w:sz w:val="22"/>
          <w:szCs w:val="22"/>
        </w:rPr>
        <w:t xml:space="preserve">The past two years have produced several large-scale institutional efforts to benchmark the ethical performance of open-source LLMs. TrustLLM, DecodingTrust, and SafetyBench each provide a standardised pipeline that evaluates dozens of widely used models across multiple trustworthiness dimensions, including toxicity, bias, hallucination, robustness, fairness, and ethics. These benchmarks have published leaderboards that cover popular open-weight model families such as Llama, Mistral, Qwen, and Falcon, and have meaningfully shifted the conversation around what constitutes an acceptable safety profile in publicly released models.</w:t>
      </w:r>
    </w:p>
    <w:p>
      <w:pPr>
        <w:spacing w:after="160" w:line="300"/>
        <w:jc w:val="both"/>
      </w:pPr>
      <w:r>
        <w:rPr>
          <w:rFonts w:ascii="Calibri" w:cs="Calibri" w:eastAsia="Calibri" w:hAnsi="Calibri"/>
          <w:sz w:val="22"/>
          <w:szCs w:val="22"/>
        </w:rPr>
        <w:t xml:space="preserve">The strengths of these frameworks are clear: large model coverage, multi-dimensional evaluation, and standardised methodologies that facilitate cross-model comparison. Their gaps, however, are also clear in the context of the present work. First, they predominantly evaluate full-precision checkpoints; quantized variants are either omitted or treated as a separate, secondary evaluation. Second, they focus on mid-to-large models in the seven-billion-to-seventy-billion parameter range, where alignment training tends to be most robust. Third, they typically report each safety axis independently — harmful compliance, bias, toxicity — without explicitly anchoring those measurements against a capability metric, leaving open the question of whether safety changes reflect alignment or capability.</w:t>
      </w:r>
    </w:p>
    <w:p>
      <w:pPr>
        <w:pStyle w:val="Heading2"/>
        <w:spacing w:after="140" w:before="280"/>
      </w:pPr>
      <w:r>
        <w:rPr>
          <w:rFonts w:ascii="Calibri" w:cs="Calibri" w:eastAsia="Calibri" w:hAnsi="Calibri"/>
          <w:b/>
          <w:bCs/>
          <w:sz w:val="26"/>
          <w:szCs w:val="26"/>
        </w:rPr>
        <w:t xml:space="preserve">2.2 The Helpfulness–Harmlessness Trade-off</w:t>
      </w:r>
    </w:p>
    <w:p>
      <w:pPr>
        <w:spacing w:after="160" w:line="300"/>
        <w:jc w:val="both"/>
      </w:pPr>
      <w:r>
        <w:rPr>
          <w:rFonts w:ascii="Calibri" w:cs="Calibri" w:eastAsia="Calibri" w:hAnsi="Calibri"/>
          <w:sz w:val="22"/>
          <w:szCs w:val="22"/>
        </w:rPr>
        <w:t xml:space="preserve">A central, well-documented limitation of static safety benchmarks is their difficulty in jointly capturing the tension between helpfulness and harmlessness. A model that is heavily optimised for safety may become overly conservative, refusing benign prompts that incidentally resemble unsafe ones — a failure mode known as over-refusal or exaggerated safety. Conversely, a model optimised for helpfulness may remain vulnerable to adversarial jailbreak attacks. Measuring only one side of this trade-off produces an incomplete picture.</w:t>
      </w:r>
    </w:p>
    <w:p>
      <w:pPr>
        <w:spacing w:after="160" w:line="300"/>
        <w:jc w:val="both"/>
      </w:pPr>
      <w:r>
        <w:rPr>
          <w:rFonts w:ascii="Calibri" w:cs="Calibri" w:eastAsia="Calibri" w:hAnsi="Calibri"/>
          <w:sz w:val="22"/>
          <w:szCs w:val="22"/>
        </w:rPr>
        <w:t xml:space="preserve">Two benchmarks have emerged as the practical standards for measuring opposite sides of this trade-off. HarmBench and AdvBench provide curated unsafe prompts and measure attack success rate — the fraction of unsafe prompts to which the model produces a harmful, complying response. XSTest provides benign prompts that are superficially similar to unsafe ones and measures over-refusal rate — the fraction of benign prompts the model nonetheless refuses. Evaluating both simultaneously is essential to detecting trade-offs introduced by alignment training or compression.</w:t>
      </w:r>
    </w:p>
    <w:p>
      <w:pPr>
        <w:spacing w:after="160" w:line="300"/>
        <w:jc w:val="both"/>
      </w:pPr>
      <w:r>
        <w:rPr>
          <w:rFonts w:ascii="Calibri" w:cs="Calibri" w:eastAsia="Calibri" w:hAnsi="Calibri"/>
          <w:sz w:val="22"/>
          <w:szCs w:val="22"/>
        </w:rPr>
        <w:t xml:space="preserve">MMLU, the Massive Multitask Language Understanding benchmark, has become the de facto general-capability anchor in safety studies. By measuring multiple-choice accuracy across a broad spectrum of academic and professional subjects, MMLU provides a capability signal that is largely independent of refusal behaviour, allowing capability collapse to be detected even when safety metrics appear to improve.</w:t>
      </w:r>
    </w:p>
    <w:p>
      <w:pPr>
        <w:pStyle w:val="Heading2"/>
        <w:spacing w:after="140" w:before="280"/>
      </w:pPr>
      <w:r>
        <w:rPr>
          <w:rFonts w:ascii="Calibri" w:cs="Calibri" w:eastAsia="Calibri" w:hAnsi="Calibri"/>
          <w:b/>
          <w:bCs/>
          <w:sz w:val="26"/>
          <w:szCs w:val="26"/>
        </w:rPr>
        <w:t xml:space="preserve">2.3 Small Language Models and On-Device Deployment</w:t>
      </w:r>
    </w:p>
    <w:p>
      <w:pPr>
        <w:spacing w:after="160" w:line="300"/>
        <w:jc w:val="both"/>
      </w:pPr>
      <w:r>
        <w:rPr>
          <w:rFonts w:ascii="Calibri" w:cs="Calibri" w:eastAsia="Calibri" w:hAnsi="Calibri"/>
          <w:sz w:val="22"/>
          <w:szCs w:val="22"/>
        </w:rPr>
        <w:t xml:space="preserve">Recent compact LLM releases have repeatedly demonstrated that strong reasoning, instruction following, and multilingual performance are achievable at parameter counts below four billion. The Qwen 2.5 and Qwen 3 series, Llama 3.2 (1B and 3B Instruct), Microsoft Phi-3 (3.8B), and Google Gemma 2 (2B and 9B) have each been positioned for on-device or edge inference. These models are routinely integrated into lightweight agent frameworks and consumer applications, where their compact size enables genuinely local execution.</w:t>
      </w:r>
    </w:p>
    <w:p>
      <w:pPr>
        <w:spacing w:after="160" w:line="300"/>
        <w:jc w:val="both"/>
      </w:pPr>
      <w:r>
        <w:rPr>
          <w:rFonts w:ascii="Calibri" w:cs="Calibri" w:eastAsia="Calibri" w:hAnsi="Calibri"/>
          <w:sz w:val="22"/>
          <w:szCs w:val="22"/>
        </w:rPr>
        <w:t xml:space="preserve">The deployment reality of these models is that they are almost never used in full precision. Memory and latency constraints on consumer hardware drive routine use of four-bit quantization, often via on-the-fly BitsAndBytes loading or pre-quantized GGUF checkpoints. Safety claims attached to the unquantized release model therefore do not, in general, transfer to the model that end users actually encounter.</w:t>
      </w:r>
    </w:p>
    <w:p>
      <w:pPr>
        <w:pStyle w:val="Heading2"/>
        <w:spacing w:after="140" w:before="280"/>
      </w:pPr>
      <w:r>
        <w:rPr>
          <w:rFonts w:ascii="Calibri" w:cs="Calibri" w:eastAsia="Calibri" w:hAnsi="Calibri"/>
          <w:b/>
          <w:bCs/>
          <w:sz w:val="26"/>
          <w:szCs w:val="26"/>
        </w:rPr>
        <w:t xml:space="preserve">2.4 Quantization and Behavioural Effects</w:t>
      </w:r>
    </w:p>
    <w:p>
      <w:pPr>
        <w:spacing w:after="160" w:line="300"/>
        <w:jc w:val="both"/>
      </w:pPr>
      <w:r>
        <w:rPr>
          <w:rFonts w:ascii="Calibri" w:cs="Calibri" w:eastAsia="Calibri" w:hAnsi="Calibri"/>
          <w:sz w:val="22"/>
          <w:szCs w:val="22"/>
        </w:rPr>
        <w:t xml:space="preserve">Quantization compresses model weights from higher-precision floating-point representations to lower-precision integer or normalized-float representations, reducing memory footprint and accelerating inference at the cost of some numerical fidelity. Post-training quantization (PTQ) methods apply this conversion after the model has been trained and require no fine-tuning, making them attractive for deployment.</w:t>
      </w:r>
    </w:p>
    <w:p>
      <w:pPr>
        <w:spacing w:after="160" w:line="300"/>
        <w:jc w:val="both"/>
      </w:pPr>
      <w:r>
        <w:rPr>
          <w:rFonts w:ascii="Calibri" w:cs="Calibri" w:eastAsia="Calibri" w:hAnsi="Calibri"/>
          <w:sz w:val="22"/>
          <w:szCs w:val="22"/>
        </w:rPr>
        <w:t xml:space="preserve">Among PTQ approaches, the NF4 quantization scheme introduced as part of QLoRA has become particularly prevalent in the open-source ecosystem. NF4 represents each weight using a four-bit normalized-float code optimised for the typical Gaussian-like distribution of neural network weights, with double quantization applied to the quantization constants to further reduce overhead. The accompanying BitsAndBytes library integrates directly with Hugging Face transformers, exposing four-bit loading through a single BitsAndBytesConfig object that can be passed to from_pretrained at model load time.</w:t>
      </w:r>
    </w:p>
    <w:p>
      <w:pPr>
        <w:spacing w:after="160" w:line="300"/>
        <w:jc w:val="both"/>
      </w:pPr>
      <w:r>
        <w:rPr>
          <w:rFonts w:ascii="Calibri" w:cs="Calibri" w:eastAsia="Calibri" w:hAnsi="Calibri"/>
          <w:sz w:val="22"/>
          <w:szCs w:val="22"/>
        </w:rPr>
        <w:t xml:space="preserve">A body of recent work has argued that quantization is not behaviourally neutral. Studies across a wide range of model sizes have shown that smaller models can suffer severe degradation under aggressive four-bit quantization while larger models remain comparatively stable, and that instruction-following fidelity and hallucination rates can shift even when general benchmark scores appear preserved. Safety-specific studies have flagged that PTQ can degrade alignment behaviour, and an emerging line of research proposes safety-preserving quantization methods explicitly designed to mitigate these effects. Importantly, most existing quantization studies evaluate either perplexity or general capability, with safety considered (if at all) as a separate axis rather than jointly with capability.</w:t>
      </w:r>
    </w:p>
    <w:p>
      <w:pPr>
        <w:pStyle w:val="Heading2"/>
        <w:spacing w:after="140" w:before="280"/>
      </w:pPr>
      <w:r>
        <w:rPr>
          <w:rFonts w:ascii="Calibri" w:cs="Calibri" w:eastAsia="Calibri" w:hAnsi="Calibri"/>
          <w:b/>
          <w:bCs/>
          <w:sz w:val="26"/>
          <w:szCs w:val="26"/>
        </w:rPr>
        <w:t xml:space="preserve">2.5 Research Gaps Targeted by This Work</w:t>
      </w:r>
    </w:p>
    <w:p>
      <w:pPr>
        <w:spacing w:after="160" w:line="300"/>
        <w:jc w:val="both"/>
      </w:pPr>
      <w:r>
        <w:rPr>
          <w:rFonts w:ascii="Calibri" w:cs="Calibri" w:eastAsia="Calibri" w:hAnsi="Calibri"/>
          <w:sz w:val="22"/>
          <w:szCs w:val="22"/>
        </w:rPr>
        <w:t xml:space="preserve">Four interlocking gaps in the existing literature motivate the present study.</w:t>
      </w:r>
    </w:p>
    <w:p>
      <w:pPr>
        <w:pStyle w:val="ListParagraph"/>
        <w:numPr>
          <w:ilvl w:val="0"/>
          <w:numId w:val="3"/>
        </w:numPr>
        <w:spacing w:after="80" w:line="280"/>
      </w:pPr>
      <w:r>
        <w:rPr>
          <w:rFonts w:ascii="Calibri" w:cs="Calibri" w:eastAsia="Calibri" w:hAnsi="Calibri"/>
          <w:sz w:val="22"/>
          <w:szCs w:val="22"/>
        </w:rPr>
        <w:t xml:space="preserve">Gap 1: Limited empirical study of compact (&lt;4B) instruction-tuned models in the safety–quantization context. Most quantization studies focus on the seven-billion-to-thirteen-billion parameter range and above. Edge-deployment-relevant compact models are under-represented.</w:t>
      </w:r>
    </w:p>
    <w:p>
      <w:pPr>
        <w:pStyle w:val="ListParagraph"/>
        <w:numPr>
          <w:ilvl w:val="0"/>
          <w:numId w:val="3"/>
        </w:numPr>
        <w:spacing w:after="80" w:line="280"/>
      </w:pPr>
      <w:r>
        <w:rPr>
          <w:rFonts w:ascii="Calibri" w:cs="Calibri" w:eastAsia="Calibri" w:hAnsi="Calibri"/>
          <w:sz w:val="22"/>
          <w:szCs w:val="22"/>
        </w:rPr>
        <w:t xml:space="preserve">Gap 2: Lack of integrated evaluation that measures harmful compliance, over-refusal, and capability simultaneously. Studies that measure only harmful compliance cannot detect capability-driven safety artifacts.</w:t>
      </w:r>
    </w:p>
    <w:p>
      <w:pPr>
        <w:pStyle w:val="ListParagraph"/>
        <w:numPr>
          <w:ilvl w:val="0"/>
          <w:numId w:val="3"/>
        </w:numPr>
        <w:spacing w:after="80" w:line="280"/>
      </w:pPr>
      <w:r>
        <w:rPr>
          <w:rFonts w:ascii="Calibri" w:cs="Calibri" w:eastAsia="Calibri" w:hAnsi="Calibri"/>
          <w:sz w:val="22"/>
          <w:szCs w:val="22"/>
        </w:rPr>
        <w:t xml:space="preserve">Gap 3: Difficulty interpreting whether observed safety metric changes in quantized models reflect a real alignment shift or a side-effect of capability degradation. No widely adopted convention exists for jointly interpreting safety and capability deltas under compression.</w:t>
      </w:r>
    </w:p>
    <w:p>
      <w:pPr>
        <w:pStyle w:val="ListParagraph"/>
        <w:numPr>
          <w:ilvl w:val="0"/>
          <w:numId w:val="3"/>
        </w:numPr>
        <w:spacing w:after="80" w:line="280"/>
      </w:pPr>
      <w:r>
        <w:rPr>
          <w:rFonts w:ascii="Calibri" w:cs="Calibri" w:eastAsia="Calibri" w:hAnsi="Calibri"/>
          <w:sz w:val="22"/>
          <w:szCs w:val="22"/>
        </w:rPr>
        <w:t xml:space="preserve">Gap 4: Provenance asymmetry in existing comparisons. Many published comparisons of full-precision and quantized checkpoints use a full-precision checkpoint from one publisher and a pre-quantized checkpoint from another, conflating quantization effects with checkpoint-conversion effects. A clean, on-the-fly quantization design from identical baseline weights eliminates this confound.</w:t>
      </w:r>
    </w:p>
    <w:p>
      <w:pPr>
        <w:spacing w:after="160" w:line="300"/>
        <w:jc w:val="both"/>
      </w:pPr>
      <w:r>
        <w:rPr>
          <w:rFonts w:ascii="Calibri" w:cs="Calibri" w:eastAsia="Calibri" w:hAnsi="Calibri"/>
          <w:sz w:val="22"/>
          <w:szCs w:val="22"/>
        </w:rPr>
        <w:t xml:space="preserve">The methodology described in Chapter 3 is structured to address all four gaps. The compact-deployment regime is addressed by the choice of Qwen 2B, Qwen 4B, and Llama 3.2 3B; the integrated evaluation is addressed by the three complementary benchmarks; the interpretation challenge is addressed by the rule-based interpretation layer; and the provenance asymmetry is eliminated by on-the-fly NF4 loading from the same baseline weights.</w:t>
      </w:r>
    </w:p>
    <w:p>
      <w:pPr>
        <w:pStyle w:val="Heading1"/>
        <w:pageBreakBefore/>
        <w:spacing w:after="200" w:before="360"/>
      </w:pPr>
      <w:r>
        <w:rPr>
          <w:rFonts w:ascii="Calibri" w:cs="Calibri" w:eastAsia="Calibri" w:hAnsi="Calibri"/>
          <w:b/>
          <w:bCs/>
          <w:sz w:val="32"/>
          <w:szCs w:val="32"/>
        </w:rPr>
        <w:t xml:space="preserve">Chapter 3 — Methodology</w:t>
      </w:r>
    </w:p>
    <w:p>
      <w:pPr>
        <w:pStyle w:val="Heading2"/>
        <w:spacing w:after="140" w:before="280"/>
      </w:pPr>
      <w:r>
        <w:rPr>
          <w:rFonts w:ascii="Calibri" w:cs="Calibri" w:eastAsia="Calibri" w:hAnsi="Calibri"/>
          <w:b/>
          <w:bCs/>
          <w:sz w:val="26"/>
          <w:szCs w:val="26"/>
        </w:rPr>
        <w:t xml:space="preserve">3.1 Experimental Design</w:t>
      </w:r>
    </w:p>
    <w:p>
      <w:pPr>
        <w:spacing w:after="160" w:line="300"/>
        <w:jc w:val="both"/>
      </w:pPr>
      <w:r>
        <w:rPr>
          <w:rFonts w:ascii="Calibri" w:cs="Calibri" w:eastAsia="Calibri" w:hAnsi="Calibri"/>
          <w:sz w:val="22"/>
          <w:szCs w:val="22"/>
        </w:rPr>
        <w:t xml:space="preserve">The study adopts a matched-pair comparative experimental design. Each model under study is evaluated as a pair: a baseline variant loaded in the default high-precision dtype, and a four-bit variant produced by applying BitsAndBytes NF4 quantization on the fly at load time. Crucially, both pair members are loaded from exactly the same Hugging Face model_id; no separately uploaded "pre-quantized" checkpoint is used. The only operational difference between the two members of a pair is the presence of a BitsAndBytesConfig object in the from_pretrained call.</w:t>
      </w:r>
    </w:p>
    <w:p>
      <w:pPr>
        <w:spacing w:after="160" w:line="300"/>
        <w:jc w:val="both"/>
      </w:pPr>
      <w:r>
        <w:rPr>
          <w:rFonts w:ascii="Calibri" w:cs="Calibri" w:eastAsia="Calibri" w:hAnsi="Calibri"/>
          <w:sz w:val="22"/>
          <w:szCs w:val="22"/>
        </w:rPr>
        <w:t xml:space="preserve">This design choice is the strongest internal-validity property of the study. By construction, both pair members share identical baseline weights, the same tokenizer, the same chat template, and the same release artifact. Any observed delta in benchmark scores is therefore attributable to the quantization step itself rather than to checkpoint provenance, separate fine-tuning, or conversion artifacts. The on-the-fly NF4 path is the most direct way to operationalise the counterfactual "the same model, quantized" in code.</w:t>
      </w:r>
    </w:p>
    <w:p>
      <w:pPr>
        <w:spacing w:after="160" w:line="300"/>
        <w:jc w:val="both"/>
      </w:pPr>
      <w:r>
        <w:rPr>
          <w:rFonts w:ascii="Calibri" w:cs="Calibri" w:eastAsia="Calibri" w:hAnsi="Calibri"/>
          <w:sz w:val="22"/>
          <w:szCs w:val="22"/>
        </w:rPr>
        <w:t xml:space="preserve">The independent variables are quantization state (baseline versus four-bit), model scale (two billion versus four billion parameters within the Qwen family), and model family (Qwen versus Llama). The dependent variables are harmful compliance, over-refusal on benign prompts, and general capability, each measured by a corresponding benchmark.</w:t>
      </w:r>
    </w:p>
    <w:p>
      <w:pPr>
        <w:pStyle w:val="Heading2"/>
        <w:spacing w:after="140" w:before="280"/>
      </w:pPr>
      <w:r>
        <w:rPr>
          <w:rFonts w:ascii="Calibri" w:cs="Calibri" w:eastAsia="Calibri" w:hAnsi="Calibri"/>
          <w:b/>
          <w:bCs/>
          <w:sz w:val="26"/>
          <w:szCs w:val="26"/>
        </w:rPr>
        <w:t xml:space="preserve">3.2 Model Selection</w:t>
      </w:r>
    </w:p>
    <w:p>
      <w:pPr>
        <w:spacing w:after="160" w:line="300"/>
        <w:jc w:val="both"/>
      </w:pPr>
      <w:r>
        <w:rPr>
          <w:rFonts w:ascii="Calibri" w:cs="Calibri" w:eastAsia="Calibri" w:hAnsi="Calibri"/>
          <w:sz w:val="22"/>
          <w:szCs w:val="22"/>
        </w:rPr>
        <w:t xml:space="preserve">Three model pairs are evaluated. The Qwen pairs at two billion and four billion parameters serve as the primary within-family comparison and provide both a quantization axis and a scale axis. The Llama 3.2 3B pair sits between them by parameter count and serves as a cross-family robustness check. Table 3.1 summarises the model matrix.</w:t>
      </w:r>
    </w:p>
    <w:tbl>
      <w:tblPr>
        <w:tblW w:type="dxa" w:w="9360"/>
        <w:tblBorders>
          <w:top w:val="single" w:color="999999" w:sz="4"/>
          <w:left w:val="single" w:color="999999" w:sz="4"/>
          <w:bottom w:val="single" w:color="999999" w:sz="4"/>
          <w:right w:val="single" w:color="999999" w:sz="4"/>
          <w:insideH w:val="single" w:color="999999" w:sz="4"/>
          <w:insideV w:val="single" w:color="999999" w:sz="4"/>
        </w:tblBorders>
      </w:tblPr>
      <w:tblGrid>
        <w:gridCol w:w="1200"/>
        <w:gridCol w:w="1600"/>
        <w:gridCol w:w="1700"/>
        <w:gridCol w:w="2860"/>
        <w:gridCol w:w="900"/>
        <w:gridCol w:w="1100"/>
      </w:tblGrid>
      <w:tr>
        <w:trPr>
          <w:tblHeader/>
        </w:trPr>
        <w:tc>
          <w:tcPr>
            <w:tcW w:type="dxa" w:w="12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Pair ID</w:t>
            </w:r>
          </w:p>
        </w:tc>
        <w:tc>
          <w:tcPr>
            <w:tcW w:type="dxa" w:w="16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Role</w:t>
            </w:r>
          </w:p>
        </w:tc>
        <w:tc>
          <w:tcPr>
            <w:tcW w:type="dxa" w:w="17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Model alias</w:t>
            </w:r>
          </w:p>
        </w:tc>
        <w:tc>
          <w:tcPr>
            <w:tcW w:type="dxa" w:w="286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Hugging Face model_id</w:t>
            </w:r>
          </w:p>
        </w:tc>
        <w:tc>
          <w:tcPr>
            <w:tcW w:type="dxa" w:w="9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Family</w:t>
            </w:r>
          </w:p>
        </w:tc>
        <w:tc>
          <w:tcPr>
            <w:tcW w:type="dxa" w:w="11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Size</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qwen_2b</w:t>
            </w:r>
          </w:p>
        </w:tc>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Primary (BF/FP16)</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qwen_2b_base</w:t>
            </w:r>
          </w:p>
        </w:tc>
        <w:tc>
          <w:tcPr>
            <w:tcW w:type="dxa" w:w="28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techwithsergiu/Qwen3.5-text-2B</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Qwen</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 B</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qwen_2b</w:t>
            </w:r>
          </w:p>
        </w:tc>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Primary (4-bit)</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qwen_2b_4bit</w:t>
            </w:r>
          </w:p>
        </w:tc>
        <w:tc>
          <w:tcPr>
            <w:tcW w:type="dxa" w:w="28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techwithsergiu/Qwen3.5-text-2B</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Qwen</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 B</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qwen_4b</w:t>
            </w:r>
          </w:p>
        </w:tc>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Primary (BF/FP16)</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qwen_4b_base</w:t>
            </w:r>
          </w:p>
        </w:tc>
        <w:tc>
          <w:tcPr>
            <w:tcW w:type="dxa" w:w="28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techwithsergiu/Qwen3.5-text-4B</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Qwen</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4 B</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qwen_4b</w:t>
            </w:r>
          </w:p>
        </w:tc>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Primary (4-bit)</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qwen_4b_4bit</w:t>
            </w:r>
          </w:p>
        </w:tc>
        <w:tc>
          <w:tcPr>
            <w:tcW w:type="dxa" w:w="28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techwithsergiu/Qwen3.5-text-4B</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Qwen</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4 B</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llama_3_2_3b</w:t>
            </w:r>
          </w:p>
        </w:tc>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Cross-family (BF/FP16)</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llama_3_2_3b_base</w:t>
            </w:r>
          </w:p>
        </w:tc>
        <w:tc>
          <w:tcPr>
            <w:tcW w:type="dxa" w:w="28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meta-llama/Llama-3.2-3B-Instruct</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Llama</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3 B</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llama_3_2_3b</w:t>
            </w:r>
          </w:p>
        </w:tc>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Cross-family (4-bit)</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llama_3_2_3b_4bit</w:t>
            </w:r>
          </w:p>
        </w:tc>
        <w:tc>
          <w:tcPr>
            <w:tcW w:type="dxa" w:w="28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meta-llama/Llama-3.2-3B-Instruct</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Llama</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3 B</w:t>
            </w:r>
          </w:p>
        </w:tc>
      </w:tr>
    </w:tbl>
    <w:p>
      <w:pPr>
        <w:spacing w:after="120" w:line="300"/>
      </w:pPr>
      <w:r>
        <w:rPr>
          <w:rFonts w:ascii="Calibri" w:cs="Calibri" w:eastAsia="Calibri" w:hAnsi="Calibri"/>
          <w:sz w:val="18"/>
          <w:szCs w:val="18"/>
        </w:rPr>
        <w:t xml:space="preserve">Table 3.1  Model pair selection matrix. Note that within each pair, both members share the same Hugging Face model_id; the only operational distinction is the presence of an NF4 BitsAndBytesConfig at load time.</w:t>
      </w:r>
    </w:p>
    <w:p>
      <w:pPr>
        <w:pStyle w:val="Heading2"/>
        <w:spacing w:after="140" w:before="280"/>
      </w:pPr>
      <w:r>
        <w:rPr>
          <w:rFonts w:ascii="Calibri" w:cs="Calibri" w:eastAsia="Calibri" w:hAnsi="Calibri"/>
          <w:b/>
          <w:bCs/>
          <w:sz w:val="26"/>
          <w:szCs w:val="26"/>
        </w:rPr>
        <w:t xml:space="preserve">3.3 Quantization Approach</w:t>
      </w:r>
    </w:p>
    <w:p>
      <w:pPr>
        <w:spacing w:after="160" w:line="300"/>
        <w:jc w:val="both"/>
      </w:pPr>
      <w:r>
        <w:rPr>
          <w:rFonts w:ascii="Calibri" w:cs="Calibri" w:eastAsia="Calibri" w:hAnsi="Calibri"/>
          <w:sz w:val="22"/>
          <w:szCs w:val="22"/>
        </w:rPr>
        <w:t xml:space="preserve">Quantization is applied entirely on the fly by injecting a BitsAndBytesConfig object into the AutoModelForCausalLM.from_pretrained call. The configuration sets load_in_4bit to True, selects the NF4 quantization type, enables double quantization, and sets the four-bit compute dtype to follow the resolved torch_dtype of the model — that is, float16 on CUDA when dtype is set to auto, and float32 on CPU (although the CPU path is not used for quantized runs since BitsAndBytes requires a CUDA device).</w:t>
      </w:r>
    </w:p>
    <w:p>
      <w:pPr>
        <w:spacing w:after="160" w:line="300"/>
        <w:jc w:val="both"/>
      </w:pPr>
      <w:r>
        <w:rPr>
          <w:rFonts w:ascii="Calibri" w:cs="Calibri" w:eastAsia="Calibri" w:hAnsi="Calibri"/>
          <w:sz w:val="22"/>
          <w:szCs w:val="22"/>
        </w:rPr>
        <w:t xml:space="preserve">Four-bit loading is forbidden on a CPU runtime: the loader raises a clear error when quantized is true and the resolved runtime device is not cuda. After load, the loader verifies that the resulting model object reports is_loaded_in_4bit, logging a warning otherwise.</w:t>
      </w:r>
    </w:p>
    <w:p>
      <w:pPr>
        <w:spacing w:after="160" w:line="300"/>
        <w:jc w:val="both"/>
      </w:pPr>
      <w:r>
        <w:rPr>
          <w:rFonts w:ascii="Calibri" w:cs="Calibri" w:eastAsia="Calibri" w:hAnsi="Calibri"/>
          <w:sz w:val="22"/>
          <w:szCs w:val="22"/>
        </w:rPr>
        <w:t xml:space="preserve">The choice of NF4 over alternative PTQ methods such as GPTQ and AWQ is deliberate. NF4 is the dominant on-the-fly quantization format in the open-source ecosystem, is supported natively by transformers without an offline calibration pass, and applies symmetrically to any model that can be loaded with from_pretrained. This applicability symmetry is required by the matched-pair design: the quantization step must be applicable to exactly the same weights as the baseline, without an intermediate calibration corpus that would itself become a confound.</w:t>
      </w:r>
    </w:p>
    <w:p>
      <w:pPr>
        <w:pStyle w:val="Heading2"/>
        <w:spacing w:after="140" w:before="280"/>
      </w:pPr>
      <w:r>
        <w:rPr>
          <w:rFonts w:ascii="Calibri" w:cs="Calibri" w:eastAsia="Calibri" w:hAnsi="Calibri"/>
          <w:b/>
          <w:bCs/>
          <w:sz w:val="26"/>
          <w:szCs w:val="26"/>
        </w:rPr>
        <w:t xml:space="preserve">3.4 Benchmark Selection and Mapping</w:t>
      </w:r>
    </w:p>
    <w:p>
      <w:pPr>
        <w:spacing w:after="160" w:line="300"/>
        <w:jc w:val="both"/>
      </w:pPr>
      <w:r>
        <w:rPr>
          <w:rFonts w:ascii="Calibri" w:cs="Calibri" w:eastAsia="Calibri" w:hAnsi="Calibri"/>
          <w:sz w:val="22"/>
          <w:szCs w:val="22"/>
        </w:rPr>
        <w:t xml:space="preserve">Three benchmarks are used. Each measures one of the three dimensions required to disambiguate alignment shifts from capability collapse.</w:t>
      </w:r>
    </w:p>
    <w:tbl>
      <w:tblPr>
        <w:tblW w:type="dxa" w:w="9360"/>
        <w:tblBorders>
          <w:top w:val="single" w:color="999999" w:sz="4"/>
          <w:left w:val="single" w:color="999999" w:sz="4"/>
          <w:bottom w:val="single" w:color="999999" w:sz="4"/>
          <w:right w:val="single" w:color="999999" w:sz="4"/>
          <w:insideH w:val="single" w:color="999999" w:sz="4"/>
          <w:insideV w:val="single" w:color="999999" w:sz="4"/>
        </w:tblBorders>
      </w:tblPr>
      <w:tblGrid>
        <w:gridCol w:w="1900"/>
        <w:gridCol w:w="3260"/>
        <w:gridCol w:w="2300"/>
        <w:gridCol w:w="1900"/>
      </w:tblGrid>
      <w:tr>
        <w:trPr>
          <w:tblHeader/>
        </w:trPr>
        <w:tc>
          <w:tcPr>
            <w:tcW w:type="dxa" w:w="19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Dimension</w:t>
            </w:r>
          </w:p>
        </w:tc>
        <w:tc>
          <w:tcPr>
            <w:tcW w:type="dxa" w:w="326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Benchmark (source)</w:t>
            </w:r>
          </w:p>
        </w:tc>
        <w:tc>
          <w:tcPr>
            <w:tcW w:type="dxa" w:w="23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Primary metric</w:t>
            </w:r>
          </w:p>
        </w:tc>
        <w:tc>
          <w:tcPr>
            <w:tcW w:type="dxa" w:w="19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Sampling</w:t>
            </w:r>
          </w:p>
        </w:tc>
      </w:tr>
      <w:tr>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Harmful compliance</w:t>
            </w:r>
          </w:p>
        </w:tc>
        <w:tc>
          <w:tcPr>
            <w:tcW w:type="dxa" w:w="32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HarmBench (walledai/HarmBench)</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Attack Success Rate (ASR)</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400 prompts</w:t>
            </w:r>
          </w:p>
        </w:tc>
      </w:tr>
      <w:tr>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Over-refusal</w:t>
            </w:r>
          </w:p>
        </w:tc>
        <w:tc>
          <w:tcPr>
            <w:tcW w:type="dxa" w:w="32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XSTest (allenai/xstest-response, benign-only)</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Over-refusal rate</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400 benign prompts</w:t>
            </w:r>
          </w:p>
        </w:tc>
      </w:tr>
      <w:tr>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General capability</w:t>
            </w:r>
          </w:p>
        </w:tc>
        <w:tc>
          <w:tcPr>
            <w:tcW w:type="dxa" w:w="32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MMLU (cais/mmlu, 6-subject subset)</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Accuracy</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300 questions total</w:t>
            </w:r>
          </w:p>
        </w:tc>
      </w:tr>
    </w:tbl>
    <w:p>
      <w:pPr>
        <w:spacing w:after="120" w:line="300"/>
      </w:pPr>
      <w:r>
        <w:rPr>
          <w:rFonts w:ascii="Calibri" w:cs="Calibri" w:eastAsia="Calibri" w:hAnsi="Calibri"/>
          <w:sz w:val="18"/>
          <w:szCs w:val="18"/>
        </w:rPr>
        <w:t xml:space="preserve">Table 3.2  Benchmark selection, primary metrics, and sample budgets. Sampling is deterministic and seed-controlled.</w:t>
      </w:r>
    </w:p>
    <w:p>
      <w:pPr>
        <w:spacing w:after="160" w:line="300"/>
        <w:jc w:val="both"/>
      </w:pPr>
      <w:r>
        <w:rPr>
          <w:rFonts w:ascii="Calibri" w:cs="Calibri" w:eastAsia="Calibri" w:hAnsi="Calibri"/>
          <w:sz w:val="22"/>
          <w:szCs w:val="22"/>
        </w:rPr>
        <w:t xml:space="preserve">HarmBench is selected as the harmful-compliance benchmark because it is the most widely adopted adversarial-prompt collection in contemporary safety research and provides a stable definition of attack success. The walledai release on Hugging Face is used. XSTest is the canonical over-refusal benchmark; the benign-only subset of the allenai/xstest-response dataset is used to measure how often the model refuses prompts that should not be refused. MMLU is used as the general-capability anchor.</w:t>
      </w:r>
    </w:p>
    <w:p>
      <w:pPr>
        <w:spacing w:after="160" w:line="300"/>
        <w:jc w:val="both"/>
      </w:pPr>
      <w:r>
        <w:rPr>
          <w:rFonts w:ascii="Calibri" w:cs="Calibri" w:eastAsia="Calibri" w:hAnsi="Calibri"/>
          <w:sz w:val="22"/>
          <w:szCs w:val="22"/>
        </w:rPr>
        <w:t xml:space="preserve">To keep MMLU tractable within the per-job walltime on TC1, a six-subject subset is used: business_ethics, clinical_knowledge, college_biology, high_school_world_history, high_school_macroeconomics, and human_aging. These subjects span ethics, sciences, humanities, social sciences, and applied knowledge, and are deliberately chosen to cover heterogeneous reasoning demands without exhausting the time budget. The total sample cap of 300 questions is distributed evenly across the six subjects.</w:t>
      </w:r>
    </w:p>
    <w:p>
      <w:pPr>
        <w:pStyle w:val="Heading2"/>
        <w:spacing w:after="140" w:before="280"/>
      </w:pPr>
      <w:r>
        <w:rPr>
          <w:rFonts w:ascii="Calibri" w:cs="Calibri" w:eastAsia="Calibri" w:hAnsi="Calibri"/>
          <w:b/>
          <w:bCs/>
          <w:sz w:val="26"/>
          <w:szCs w:val="26"/>
        </w:rPr>
        <w:t xml:space="preserve">3.5 Scoring: Deterministic Refusal Detection</w:t>
      </w:r>
    </w:p>
    <w:p>
      <w:pPr>
        <w:spacing w:after="160" w:line="300"/>
        <w:jc w:val="both"/>
      </w:pPr>
      <w:r>
        <w:rPr>
          <w:rFonts w:ascii="Calibri" w:cs="Calibri" w:eastAsia="Calibri" w:hAnsi="Calibri"/>
          <w:sz w:val="22"/>
          <w:szCs w:val="22"/>
        </w:rPr>
        <w:t xml:space="preserve">All refusal scoring is performed by deterministic regex-based pattern matching rather than by a separate judge LLM. The motivation for this design choice is reproducibility and transparency. Judge-LLM scoring introduces a non-trivial variance budget (different judges and different judge versions disagree about whether a particular response constitutes a refusal) and adds an additional moving part to the experiment that would itself need to be controlled.</w:t>
      </w:r>
    </w:p>
    <w:p>
      <w:pPr>
        <w:spacing w:after="160" w:line="300"/>
        <w:jc w:val="both"/>
      </w:pPr>
      <w:r>
        <w:rPr>
          <w:rFonts w:ascii="Calibri" w:cs="Calibri" w:eastAsia="Calibri" w:hAnsi="Calibri"/>
          <w:sz w:val="22"/>
          <w:szCs w:val="22"/>
        </w:rPr>
        <w:t xml:space="preserve">Three boolean fields are recorded for each response: harmful_compliance, safe_refusal, and malformed. For HarmBench, harmful compliance corresponds to a response that addresses the unsafe request substantively rather than refusing. For XSTest benign prompts, refusal is the failure mode, and over-refusal rate is the fraction of benign prompts on which the refusal pattern fires. The malformed field flags responses that are empty, contain only template fragments, or fail to parse into the expected output format.</w:t>
      </w:r>
    </w:p>
    <w:p>
      <w:pPr>
        <w:spacing w:after="160" w:line="300"/>
        <w:jc w:val="both"/>
      </w:pPr>
      <w:r>
        <w:rPr>
          <w:rFonts w:ascii="Calibri" w:cs="Calibri" w:eastAsia="Calibri" w:hAnsi="Calibri"/>
          <w:sz w:val="22"/>
          <w:szCs w:val="22"/>
        </w:rPr>
        <w:t xml:space="preserve">The trade-off of deterministic parsing — its potential to miss nuanced or euphemistic refusals — is explicitly acknowledged in the Limitations chapter and motivates one of the proposed future-work directions.</w:t>
      </w:r>
    </w:p>
    <w:p>
      <w:pPr>
        <w:pStyle w:val="Heading2"/>
        <w:spacing w:after="140" w:before="280"/>
      </w:pPr>
      <w:r>
        <w:rPr>
          <w:rFonts w:ascii="Calibri" w:cs="Calibri" w:eastAsia="Calibri" w:hAnsi="Calibri"/>
          <w:b/>
          <w:bCs/>
          <w:sz w:val="26"/>
          <w:szCs w:val="26"/>
        </w:rPr>
        <w:t xml:space="preserve">3.6 Decoding Controls</w:t>
      </w:r>
    </w:p>
    <w:p>
      <w:pPr>
        <w:spacing w:after="160" w:line="300"/>
        <w:jc w:val="both"/>
      </w:pPr>
      <w:r>
        <w:rPr>
          <w:rFonts w:ascii="Calibri" w:cs="Calibri" w:eastAsia="Calibri" w:hAnsi="Calibri"/>
          <w:sz w:val="22"/>
          <w:szCs w:val="22"/>
        </w:rPr>
        <w:t xml:space="preserve">All inference runs share identical decoding parameters, applied uniformly across baseline and quantized members of every pair. Table 3.3 lists the parameters.</w:t>
      </w:r>
    </w:p>
    <w:tbl>
      <w:tblPr>
        <w:tblW w:type="dxa" w:w="9360"/>
        <w:tblBorders>
          <w:top w:val="single" w:color="999999" w:sz="4"/>
          <w:left w:val="single" w:color="999999" w:sz="4"/>
          <w:bottom w:val="single" w:color="999999" w:sz="4"/>
          <w:right w:val="single" w:color="999999" w:sz="4"/>
          <w:insideH w:val="single" w:color="999999" w:sz="4"/>
          <w:insideV w:val="single" w:color="999999" w:sz="4"/>
        </w:tblBorders>
      </w:tblPr>
      <w:tblGrid>
        <w:gridCol w:w="2200"/>
        <w:gridCol w:w="1300"/>
        <w:gridCol w:w="5860"/>
      </w:tblGrid>
      <w:tr>
        <w:trPr>
          <w:tblHeader/>
        </w:trPr>
        <w:tc>
          <w:tcPr>
            <w:tcW w:type="dxa" w:w="22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Parameter</w:t>
            </w:r>
          </w:p>
        </w:tc>
        <w:tc>
          <w:tcPr>
            <w:tcW w:type="dxa" w:w="13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Value</w:t>
            </w:r>
          </w:p>
        </w:tc>
        <w:tc>
          <w:tcPr>
            <w:tcW w:type="dxa" w:w="586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Rationale</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temperature</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w:t>
            </w:r>
          </w:p>
        </w:tc>
        <w:tc>
          <w:tcPr>
            <w:tcW w:type="dxa" w:w="58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Greedy decoding; removes within-condition variance.</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top_p</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1.0</w:t>
            </w:r>
          </w:p>
        </w:tc>
        <w:tc>
          <w:tcPr>
            <w:tcW w:type="dxa" w:w="58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Disabled (greedy).</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max_new_tokens</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128</w:t>
            </w:r>
          </w:p>
        </w:tc>
        <w:tc>
          <w:tcPr>
            <w:tcW w:type="dxa" w:w="58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Sufficient for short HarmBench refusals and MMLU answers; monitored during smoke run.</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repetition_penalty</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1.0</w:t>
            </w:r>
          </w:p>
        </w:tc>
        <w:tc>
          <w:tcPr>
            <w:tcW w:type="dxa" w:w="58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Neutral; avoids confounding refusal calibration.</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max_input_tokens</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1024</w:t>
            </w:r>
          </w:p>
        </w:tc>
        <w:tc>
          <w:tcPr>
            <w:tcW w:type="dxa" w:w="58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Caps prompt length; prevents context overflow.</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use_chat_template</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true</w:t>
            </w:r>
          </w:p>
        </w:tc>
        <w:tc>
          <w:tcPr>
            <w:tcW w:type="dxa" w:w="58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Applies model-specific chat template to every prompt.</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enable_thinking</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false</w:t>
            </w:r>
          </w:p>
        </w:tc>
        <w:tc>
          <w:tcPr>
            <w:tcW w:type="dxa" w:w="58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Critical: disables Qwen3.x default thinking mode so the 128-token budget is not consumed by &lt;thinking&gt; blocks before the answer.</w:t>
            </w:r>
          </w:p>
        </w:tc>
      </w:tr>
    </w:tbl>
    <w:p>
      <w:pPr>
        <w:spacing w:after="120" w:line="300"/>
      </w:pPr>
      <w:r>
        <w:rPr>
          <w:rFonts w:ascii="Calibri" w:cs="Calibri" w:eastAsia="Calibri" w:hAnsi="Calibri"/>
          <w:sz w:val="18"/>
          <w:szCs w:val="18"/>
        </w:rPr>
        <w:t xml:space="preserve">Table 3.3  Decoding controls used during inference. The enable_thinking=False setting is passed when the tokenizer supports it; a TypeError fallback gracefully handles tokenizers that do not accept the keyword.</w:t>
      </w:r>
    </w:p>
    <w:p>
      <w:pPr>
        <w:pStyle w:val="Heading2"/>
        <w:spacing w:after="140" w:before="280"/>
      </w:pPr>
      <w:r>
        <w:rPr>
          <w:rFonts w:ascii="Calibri" w:cs="Calibri" w:eastAsia="Calibri" w:hAnsi="Calibri"/>
          <w:b/>
          <w:bCs/>
          <w:sz w:val="26"/>
          <w:szCs w:val="26"/>
        </w:rPr>
        <w:t xml:space="preserve">3.7 Metrics and Pairwise Analysis</w:t>
      </w:r>
    </w:p>
    <w:p>
      <w:pPr>
        <w:spacing w:after="160" w:line="300"/>
        <w:jc w:val="both"/>
      </w:pPr>
      <w:r>
        <w:rPr>
          <w:rFonts w:ascii="Calibri" w:cs="Calibri" w:eastAsia="Calibri" w:hAnsi="Calibri"/>
          <w:sz w:val="22"/>
          <w:szCs w:val="22"/>
        </w:rPr>
        <w:t xml:space="preserve">The primary scalar metrics computed per (model, benchmark) pair are defined below. Throughout, n denotes the number of evaluated prompts.</w:t>
      </w:r>
    </w:p>
    <w:p>
      <w:pPr>
        <w:spacing w:after="120" w:before="80"/>
        <w:jc w:val="center"/>
      </w:pPr>
      <w:r>
        <w:rPr>
          <w:rFonts w:ascii="Cambria Math" w:cs="Cambria Math" w:eastAsia="Cambria Math" w:hAnsi="Cambria Math"/>
          <w:i w:val="false"/>
          <w:iCs w:val="false"/>
          <w:sz w:val="24"/>
          <w:szCs w:val="24"/>
        </w:rPr>
        <w:t xml:space="preserve">ASR  =  (1 / n) Σᵢ cᵢ ,    cᵢ ∈ {0, 1}  indicating harmful compliance</w:t>
      </w:r>
    </w:p>
    <w:p>
      <w:pPr>
        <w:spacing w:after="120" w:before="80"/>
        <w:jc w:val="center"/>
      </w:pPr>
      <w:r>
        <w:rPr>
          <w:rFonts w:ascii="Cambria Math" w:cs="Cambria Math" w:eastAsia="Cambria Math" w:hAnsi="Cambria Math"/>
          <w:i w:val="false"/>
          <w:iCs w:val="false"/>
          <w:sz w:val="24"/>
          <w:szCs w:val="24"/>
        </w:rPr>
        <w:t xml:space="preserve">OverRefusalRate  =  (1 / n_b) Σᵢ fᵢ ,    benign prompts only</w:t>
      </w:r>
    </w:p>
    <w:p>
      <w:pPr>
        <w:spacing w:after="120" w:before="80"/>
        <w:jc w:val="center"/>
      </w:pPr>
      <w:r>
        <w:rPr>
          <w:rFonts w:ascii="Cambria Math" w:cs="Cambria Math" w:eastAsia="Cambria Math" w:hAnsi="Cambria Math"/>
          <w:i w:val="false"/>
          <w:iCs w:val="false"/>
          <w:sz w:val="24"/>
          <w:szCs w:val="24"/>
        </w:rPr>
        <w:t xml:space="preserve">Accuracy  =  (1 / n) Σᵢ 𝟙[ŷᵢ = yᵢ]  ,    MMLU</w:t>
      </w:r>
    </w:p>
    <w:p>
      <w:pPr>
        <w:spacing w:after="120" w:before="80"/>
        <w:jc w:val="center"/>
      </w:pPr>
      <w:r>
        <w:rPr>
          <w:rFonts w:ascii="Cambria Math" w:cs="Cambria Math" w:eastAsia="Cambria Math" w:hAnsi="Cambria Math"/>
          <w:i w:val="false"/>
          <w:iCs w:val="false"/>
          <w:sz w:val="24"/>
          <w:szCs w:val="24"/>
        </w:rPr>
        <w:t xml:space="preserve">MalformedRate  =  (1 / n) Σᵢ mᵢ ,    AnsweredRate  =  (1 / n) Σᵢ 𝟙[ŷᵢ ≠ ∅]</w:t>
      </w:r>
    </w:p>
    <w:p>
      <w:pPr>
        <w:spacing w:after="160" w:line="300"/>
        <w:jc w:val="both"/>
      </w:pPr>
      <w:r>
        <w:rPr>
          <w:rFonts w:ascii="Calibri" w:cs="Calibri" w:eastAsia="Calibri" w:hAnsi="Calibri"/>
          <w:sz w:val="22"/>
          <w:szCs w:val="22"/>
        </w:rPr>
        <w:t xml:space="preserve">Pairwise deltas are computed per pair_id, taking the four-bit value minus the baseline value of each metric:</w:t>
      </w:r>
    </w:p>
    <w:p>
      <w:pPr>
        <w:spacing w:after="120" w:before="80"/>
        <w:jc w:val="center"/>
      </w:pPr>
      <w:r>
        <w:rPr>
          <w:rFonts w:ascii="Cambria Math" w:cs="Cambria Math" w:eastAsia="Cambria Math" w:hAnsi="Cambria Math"/>
          <w:i w:val="false"/>
          <w:iCs w:val="false"/>
          <w:sz w:val="24"/>
          <w:szCs w:val="24"/>
        </w:rPr>
        <w:t xml:space="preserve">ΔM  =  M_{4-bit}  −  M_{baseline}</w:t>
      </w:r>
    </w:p>
    <w:p>
      <w:pPr>
        <w:spacing w:after="120" w:before="80"/>
        <w:jc w:val="center"/>
      </w:pPr>
      <w:r>
        <w:rPr>
          <w:rFonts w:ascii="Cambria Math" w:cs="Cambria Math" w:eastAsia="Cambria Math" w:hAnsi="Cambria Math"/>
          <w:i w:val="false"/>
          <w:iCs w:val="false"/>
          <w:sz w:val="24"/>
          <w:szCs w:val="24"/>
        </w:rPr>
        <w:t xml:space="preserve">ΔM_rel  =  ( M_{4-bit}  −  M_{baseline} )  /  M_{baseline}    when M_{baseline} ≠ 0</w:t>
      </w:r>
    </w:p>
    <w:p>
      <w:pPr>
        <w:spacing w:after="160" w:line="300"/>
        <w:jc w:val="both"/>
      </w:pPr>
      <w:r>
        <w:rPr>
          <w:rFonts w:ascii="Calibri" w:cs="Calibri" w:eastAsia="Calibri" w:hAnsi="Calibri"/>
          <w:sz w:val="22"/>
          <w:szCs w:val="22"/>
        </w:rPr>
        <w:t xml:space="preserve">Bootstrap 95% confidence intervals are computed for each metric by resampling the per-prompt score records with replacement. The intervals reflect prompt-sampling variance only; because decoding is deterministic at temperature 0.0, there is no within-condition stochastic variance.</w:t>
      </w:r>
    </w:p>
    <w:p>
      <w:pPr>
        <w:pStyle w:val="Heading2"/>
        <w:spacing w:after="140" w:before="280"/>
      </w:pPr>
      <w:r>
        <w:rPr>
          <w:rFonts w:ascii="Calibri" w:cs="Calibri" w:eastAsia="Calibri" w:hAnsi="Calibri"/>
          <w:b/>
          <w:bCs/>
          <w:sz w:val="26"/>
          <w:szCs w:val="26"/>
        </w:rPr>
        <w:t xml:space="preserve">3.8 Interpretation Framework</w:t>
      </w:r>
    </w:p>
    <w:p>
      <w:pPr>
        <w:spacing w:after="160" w:line="300"/>
        <w:jc w:val="both"/>
      </w:pPr>
      <w:r>
        <w:rPr>
          <w:rFonts w:ascii="Calibri" w:cs="Calibri" w:eastAsia="Calibri" w:hAnsi="Calibri"/>
          <w:sz w:val="22"/>
          <w:szCs w:val="22"/>
        </w:rPr>
        <w:t xml:space="preserve">Combining harmful-compliance, over-refusal, and capability deltas, each pair receives one of four rule-based interpretation labels. These labels are the central analytical output of the study and formalise the alignment-versus-capability disambiguation.</w:t>
      </w:r>
    </w:p>
    <w:tbl>
      <w:tblPr>
        <w:tblW w:type="dxa" w:w="9360"/>
        <w:tblBorders>
          <w:top w:val="single" w:color="999999" w:sz="4"/>
          <w:left w:val="single" w:color="999999" w:sz="4"/>
          <w:bottom w:val="single" w:color="999999" w:sz="4"/>
          <w:right w:val="single" w:color="999999" w:sz="4"/>
          <w:insideH w:val="single" w:color="999999" w:sz="4"/>
          <w:insideV w:val="single" w:color="999999" w:sz="4"/>
        </w:tblBorders>
      </w:tblPr>
      <w:tblGrid>
        <w:gridCol w:w="2400"/>
        <w:gridCol w:w="3500"/>
        <w:gridCol w:w="3460"/>
      </w:tblGrid>
      <w:tr>
        <w:trPr>
          <w:tblHeader/>
        </w:trPr>
        <w:tc>
          <w:tcPr>
            <w:tcW w:type="dxa" w:w="24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Label</w:t>
            </w:r>
          </w:p>
        </w:tc>
        <w:tc>
          <w:tcPr>
            <w:tcW w:type="dxa" w:w="35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Condition</w:t>
            </w:r>
          </w:p>
        </w:tc>
        <w:tc>
          <w:tcPr>
            <w:tcW w:type="dxa" w:w="346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Interpretation</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alignment_degradation</w:t>
            </w:r>
          </w:p>
        </w:tc>
        <w:tc>
          <w:tcPr>
            <w:tcW w:type="dxa" w:w="3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ΔASR &gt; 0  AND  ΔMMLU ≈ 0</w:t>
            </w:r>
          </w:p>
        </w:tc>
        <w:tc>
          <w:tcPr>
            <w:tcW w:type="dxa" w:w="34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Quantization weakens refusal behaviour without affecting capability — a true alignment shift.</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capability_collapse_masquerading_as_safety</w:t>
            </w:r>
          </w:p>
        </w:tc>
        <w:tc>
          <w:tcPr>
            <w:tcW w:type="dxa" w:w="3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ΔASR &lt; 0  AND  ΔOverRefusal &gt; 0  AND  ΔMMLU &lt; 0</w:t>
            </w:r>
          </w:p>
        </w:tc>
        <w:tc>
          <w:tcPr>
            <w:tcW w:type="dxa" w:w="34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Apparent safety improvement coincides with capability collapse and over-refusal; not a genuine alignment win.</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robust_preservation</w:t>
            </w:r>
          </w:p>
        </w:tc>
        <w:tc>
          <w:tcPr>
            <w:tcW w:type="dxa" w:w="3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All three deltas small in magnitude</w:t>
            </w:r>
          </w:p>
        </w:tc>
        <w:tc>
          <w:tcPr>
            <w:tcW w:type="dxa" w:w="34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Quantization preserves both safety and capability — the desired outcome.</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broad_degradation</w:t>
            </w:r>
          </w:p>
        </w:tc>
        <w:tc>
          <w:tcPr>
            <w:tcW w:type="dxa" w:w="3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ΔASR &gt; 0  AND  ΔOverRefusal &gt; 0  AND  ΔMMLU &lt; 0</w:t>
            </w:r>
          </w:p>
        </w:tc>
        <w:tc>
          <w:tcPr>
            <w:tcW w:type="dxa" w:w="34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Quantization degrades the model along all measured axes.</w:t>
            </w:r>
          </w:p>
        </w:tc>
      </w:tr>
    </w:tbl>
    <w:p>
      <w:pPr>
        <w:spacing w:after="120" w:line="300"/>
      </w:pPr>
      <w:r>
        <w:rPr>
          <w:rFonts w:ascii="Calibri" w:cs="Calibri" w:eastAsia="Calibri" w:hAnsi="Calibri"/>
          <w:sz w:val="18"/>
          <w:szCs w:val="18"/>
        </w:rPr>
        <w:t xml:space="preserve">Table 3.4  Interpretation labels derived from combined deltas. Numerical thresholds for the qualitative terms ("roughly flat", "small") are set as configurable parameters in the analysis module.</w:t>
      </w:r>
    </w:p>
    <w:p>
      <w:pPr>
        <w:pStyle w:val="Heading2"/>
        <w:spacing w:after="140" w:before="280"/>
      </w:pPr>
      <w:r>
        <w:rPr>
          <w:rFonts w:ascii="Calibri" w:cs="Calibri" w:eastAsia="Calibri" w:hAnsi="Calibri"/>
          <w:b/>
          <w:bCs/>
          <w:sz w:val="26"/>
          <w:szCs w:val="26"/>
        </w:rPr>
        <w:t xml:space="preserve">3.9 Reproducibility Controls</w:t>
      </w:r>
    </w:p>
    <w:p>
      <w:pPr>
        <w:spacing w:after="160" w:line="300"/>
        <w:jc w:val="both"/>
      </w:pPr>
      <w:r>
        <w:rPr>
          <w:rFonts w:ascii="Calibri" w:cs="Calibri" w:eastAsia="Calibri" w:hAnsi="Calibri"/>
          <w:sz w:val="22"/>
          <w:szCs w:val="22"/>
        </w:rPr>
        <w:t xml:space="preserve">Reproducibility is treated as a first-class engineering requirement. A single seed (42) is propagated to Python's random module, NumPy, and PyTorch RNGs at the start of each run. Dataset shuffling is deterministic: each benchmark plugin loads its full dataset, shuffles with the seeded RNG, and then truncates to the configured max_samples. The same prompt order is therefore visited by both pair members.</w:t>
      </w:r>
    </w:p>
    <w:p>
      <w:pPr>
        <w:spacing w:after="160" w:line="300"/>
        <w:jc w:val="both"/>
      </w:pPr>
      <w:r>
        <w:rPr>
          <w:rFonts w:ascii="Calibri" w:cs="Calibri" w:eastAsia="Calibri" w:hAnsi="Calibri"/>
          <w:sz w:val="22"/>
          <w:szCs w:val="22"/>
        </w:rPr>
        <w:t xml:space="preserve">Every per-prompt record persisted to raw.jsonl includes the model alias, the resolved model_id, the model family, the pair_id, the quantized flag, the seed, the full generation_config, and an ISO-8601 timestamp. This per-record metadata supports later auditability without dependence on the configuration file at the time of analysis.</w:t>
      </w:r>
    </w:p>
    <w:p>
      <w:pPr>
        <w:spacing w:after="160" w:line="300"/>
        <w:jc w:val="both"/>
      </w:pPr>
      <w:r>
        <w:rPr>
          <w:rFonts w:ascii="Calibri" w:cs="Calibri" w:eastAsia="Calibri" w:hAnsi="Calibri"/>
          <w:sz w:val="22"/>
          <w:szCs w:val="22"/>
        </w:rPr>
        <w:t xml:space="preserve">Long-running jobs are made robust by the resume logic described in §4.7: if a job is killed mid-benchmark by walltime exhaustion or transient cluster failure, the next submission reads the existing raw.jsonl, identifies which prompt_ids have already been processed, and skips them on the second pass. The granularity of the resume mechanism is per-prompt, not per-benchmark.</w:t>
      </w:r>
    </w:p>
    <w:p>
      <w:pPr>
        <w:pStyle w:val="Heading1"/>
        <w:pageBreakBefore/>
        <w:spacing w:after="200" w:before="360"/>
      </w:pPr>
      <w:r>
        <w:rPr>
          <w:rFonts w:ascii="Calibri" w:cs="Calibri" w:eastAsia="Calibri" w:hAnsi="Calibri"/>
          <w:b/>
          <w:bCs/>
          <w:sz w:val="32"/>
          <w:szCs w:val="32"/>
        </w:rPr>
        <w:t xml:space="preserve">Chapter 4 — System Design and Implementation</w:t>
      </w:r>
    </w:p>
    <w:p>
      <w:pPr>
        <w:pStyle w:val="Heading2"/>
        <w:spacing w:after="140" w:before="280"/>
      </w:pPr>
      <w:r>
        <w:rPr>
          <w:rFonts w:ascii="Calibri" w:cs="Calibri" w:eastAsia="Calibri" w:hAnsi="Calibri"/>
          <w:b/>
          <w:bCs/>
          <w:sz w:val="26"/>
          <w:szCs w:val="26"/>
        </w:rPr>
        <w:t xml:space="preserve">4.1 Architecture Overview</w:t>
      </w:r>
    </w:p>
    <w:p>
      <w:pPr>
        <w:spacing w:after="160" w:line="300"/>
        <w:jc w:val="both"/>
      </w:pPr>
      <w:r>
        <w:rPr>
          <w:rFonts w:ascii="Calibri" w:cs="Calibri" w:eastAsia="Calibri" w:hAnsi="Calibri"/>
          <w:sz w:val="22"/>
          <w:szCs w:val="22"/>
        </w:rPr>
        <w:t xml:space="preserve">The framework is implemented as a single Python package, ethical_benchmark, with a thin command-line wrapper (fyp_cli.py) and a Makefile that exposes the most common workflows. The package is decomposed into modules with single, well-defined responsibilities, summarised in Table 4.1.</w:t>
      </w:r>
    </w:p>
    <w:tbl>
      <w:tblPr>
        <w:tblW w:type="dxa" w:w="9360"/>
        <w:tblBorders>
          <w:top w:val="single" w:color="999999" w:sz="4"/>
          <w:left w:val="single" w:color="999999" w:sz="4"/>
          <w:bottom w:val="single" w:color="999999" w:sz="4"/>
          <w:right w:val="single" w:color="999999" w:sz="4"/>
          <w:insideH w:val="single" w:color="999999" w:sz="4"/>
          <w:insideV w:val="single" w:color="999999" w:sz="4"/>
        </w:tblBorders>
      </w:tblPr>
      <w:tblGrid>
        <w:gridCol w:w="4200"/>
        <w:gridCol w:w="5160"/>
      </w:tblGrid>
      <w:tr>
        <w:trPr>
          <w:tblHeader/>
        </w:trPr>
        <w:tc>
          <w:tcPr>
            <w:tcW w:type="dxa" w:w="42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Module</w:t>
            </w:r>
          </w:p>
        </w:tc>
        <w:tc>
          <w:tcPr>
            <w:tcW w:type="dxa" w:w="516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Responsibility</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ethical_benchmark/quant/config_schema.py</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Pydantic schema for the YAML configuration; enforces pair invariants and benchmark cross-references.</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ethical_benchmark/models/loader.py</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HFModelLoader: dtype resolution, device selection, on-the-fly BitsAndBytesConfig injection, post-load verification.</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ethical_benchmark/models/generation.py</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TextGenerator: batched generation, chat-template application, enable_thinking handling, post-processing.</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ethical_benchmark/benchmarks/</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Pluggable benchmark interface: base.py (ABC), harmbench.py, xstest.py, mmlu.py, utils.py (shared refusal patterns).</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ethical_benchmark/pipeline/run_quant_benchmark.py</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Single (model, benchmark) executor with resume and force_restart support.</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ethical_benchmark/pipeline/run_quant_matrix.py</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Multi-benchmark executor per model; loads each model once and runs all benchmarks sequentially.</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ethical_benchmark/analysis/compare_quant_pairs.py</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Pairwise delta computation, interpretation labels, scale-sensitivity, cross-family reports.</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ethical_benchmark/cluster/generate_jobs.py</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SLURM sbatch generation, supports per-benchmark or per-model grouping.</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ethical_benchmark/cluster/submit_jobs.py</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Programmatic sbatch submission with dry-run support.</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ethical_benchmark/cluster/check_runs.py</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Status reporting: which (model, benchmark) outputs exist, which jobs are in the queue.</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ethical_benchmark/metrics/</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JSONL/CSV writers, bootstrap CI helpers, summary aggregation.</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fyp_cli.py</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Unified CLI entrypoint exposing all workflows.</w:t>
            </w:r>
          </w:p>
        </w:tc>
      </w:tr>
    </w:tbl>
    <w:p>
      <w:pPr>
        <w:spacing w:after="120" w:line="300"/>
      </w:pPr>
      <w:r>
        <w:rPr>
          <w:rFonts w:ascii="Calibri" w:cs="Calibri" w:eastAsia="Calibri" w:hAnsi="Calibri"/>
          <w:sz w:val="18"/>
          <w:szCs w:val="18"/>
        </w:rPr>
        <w:t xml:space="preserve">Table 4.1  Repository module responsibilities.</w:t>
      </w:r>
    </w:p>
    <w:p>
      <w:pPr>
        <w:pStyle w:val="Heading2"/>
        <w:spacing w:after="140" w:before="280"/>
      </w:pPr>
      <w:r>
        <w:rPr>
          <w:rFonts w:ascii="Calibri" w:cs="Calibri" w:eastAsia="Calibri" w:hAnsi="Calibri"/>
          <w:b/>
          <w:bCs/>
          <w:sz w:val="26"/>
          <w:szCs w:val="26"/>
        </w:rPr>
        <w:t xml:space="preserve">4.2 Configuration Schema</w:t>
      </w:r>
    </w:p>
    <w:p>
      <w:pPr>
        <w:spacing w:after="160" w:line="300"/>
        <w:jc w:val="both"/>
      </w:pPr>
      <w:r>
        <w:rPr>
          <w:rFonts w:ascii="Calibri" w:cs="Calibri" w:eastAsia="Calibri" w:hAnsi="Calibri"/>
          <w:sz w:val="22"/>
          <w:szCs w:val="22"/>
        </w:rPr>
        <w:t xml:space="preserve">All runtime parameters are specified by a YAML configuration file (typically configs/tc1.yaml for cluster runs, configs/default.yaml for local development). The configuration is loaded and validated by a Pydantic schema (config_schema.py) that enforces structural and semantic invariants. The top-level schema has four sections: models, decoding, benchmarks, and slurm.</w:t>
      </w:r>
    </w:p>
    <w:p>
      <w:pPr>
        <w:spacing w:after="160" w:line="300"/>
        <w:jc w:val="both"/>
      </w:pPr>
      <w:r>
        <w:rPr>
          <w:rFonts w:ascii="Calibri" w:cs="Calibri" w:eastAsia="Calibri" w:hAnsi="Calibri"/>
          <w:sz w:val="22"/>
          <w:szCs w:val="22"/>
        </w:rPr>
        <w:t xml:space="preserve">Each model entry must specify family, size_b, quantized, pair_id, model_id, trust_remote_code, dtype, and a benchmarks list. The schema enforces two cross-references: every benchmark name appearing in a model's benchmarks list must also appear as a top-level benchmarks entry, and every pair_id must have at least one model with quantized=false and at least one with quantized=true. These invariants make it impossible to configure a study that omits a baseline or compares a model only against itself.</w:t>
      </w:r>
    </w:p>
    <w:p>
      <w:pPr>
        <w:spacing w:after="160" w:line="300"/>
        <w:jc w:val="both"/>
      </w:pPr>
      <w:r>
        <w:rPr>
          <w:rFonts w:ascii="Calibri" w:cs="Calibri" w:eastAsia="Calibri" w:hAnsi="Calibri"/>
          <w:sz w:val="22"/>
          <w:szCs w:val="22"/>
        </w:rPr>
        <w:t xml:space="preserve">The decoding section specifies generation parameters; the benchmarks section provides per-benchmark dataset names, splits, sample caps, batch sizes, and benchmark-specific options (such as the benign_only flag for XSTest and the subjects list for MMLU); the slurm section specifies cluster directives and bootstrap commands.</w:t>
      </w:r>
    </w:p>
    <w:p>
      <w:pPr>
        <w:pStyle w:val="Heading2"/>
        <w:spacing w:after="140" w:before="280"/>
      </w:pPr>
      <w:r>
        <w:rPr>
          <w:rFonts w:ascii="Calibri" w:cs="Calibri" w:eastAsia="Calibri" w:hAnsi="Calibri"/>
          <w:b/>
          <w:bCs/>
          <w:sz w:val="26"/>
          <w:szCs w:val="26"/>
        </w:rPr>
        <w:t xml:space="preserve">4.3 Model Loading and Quantization Path</w:t>
      </w:r>
    </w:p>
    <w:p>
      <w:pPr>
        <w:spacing w:after="160" w:line="300"/>
        <w:jc w:val="both"/>
      </w:pPr>
      <w:r>
        <w:rPr>
          <w:rFonts w:ascii="Calibri" w:cs="Calibri" w:eastAsia="Calibri" w:hAnsi="Calibri"/>
          <w:sz w:val="22"/>
          <w:szCs w:val="22"/>
        </w:rPr>
        <w:t xml:space="preserve">The HFModelLoader class encapsulates all model-loading logic. Its load method accepts a ModelSpec dataclass (built from the YAML configuration) and returns the loaded model, tokenizer, and resolved runtime device. The loader is responsible for three things: (i) selecting the runtime device based on the user-specified policy and CUDA availability; (ii) resolving the model dtype from a string preference (auto, float16, bfloat16, float32) to an actual torch.dtype value, with auto resolving to float16 on CUDA and float32 on CPU; and (iii) injecting a BitsAndBytesConfig object into the from_pretrained call when ModelSpec.quantized is true.</w:t>
      </w:r>
    </w:p>
    <w:p>
      <w:pPr>
        <w:spacing w:after="160" w:line="300"/>
        <w:jc w:val="both"/>
      </w:pPr>
      <w:r>
        <w:rPr>
          <w:rFonts w:ascii="Calibri" w:cs="Calibri" w:eastAsia="Calibri" w:hAnsi="Calibri"/>
          <w:sz w:val="22"/>
          <w:szCs w:val="22"/>
        </w:rPr>
        <w:t xml:space="preserve">The BitsAndBytesConfig is constructed with load_in_4bit=True, bnb_4bit_quant_type="nf4", bnb_4bit_use_double_quant=True, and bnb_4bit_compute_dtype equal to the resolved torch_dtype. Setting the compute dtype to follow the model dtype ensures that the dequantized compute path uses the same precision the model would have used at full precision, eliminating a subtle source of pair asymmetry.</w:t>
      </w:r>
    </w:p>
    <w:p>
      <w:pPr>
        <w:spacing w:after="160" w:line="300"/>
        <w:jc w:val="both"/>
      </w:pPr>
      <w:r>
        <w:rPr>
          <w:rFonts w:ascii="Calibri" w:cs="Calibri" w:eastAsia="Calibri" w:hAnsi="Calibri"/>
          <w:sz w:val="22"/>
          <w:szCs w:val="22"/>
        </w:rPr>
        <w:t xml:space="preserve">Two runtime safeguards are applied. First, the loader raises a clear RuntimeError if quantized is true but the resolved runtime device is not cuda, preventing accidental CPU execution of a four-bit path that BitsAndBytes does not support. Second, after the from_pretrained call returns, the loader checks model.is_loaded_in_4bit and logs a warning if the flag is false despite a quantization request — this protects against silent failures in which a checkpoint or installation issue causes BitsAndBytes to skip the quantization.</w:t>
      </w:r>
    </w:p>
    <w:p>
      <w:pPr>
        <w:pStyle w:val="Heading2"/>
        <w:spacing w:after="140" w:before="280"/>
      </w:pPr>
      <w:r>
        <w:rPr>
          <w:rFonts w:ascii="Calibri" w:cs="Calibri" w:eastAsia="Calibri" w:hAnsi="Calibri"/>
          <w:b/>
          <w:bCs/>
          <w:sz w:val="26"/>
          <w:szCs w:val="26"/>
        </w:rPr>
        <w:t xml:space="preserve">4.4 Generation Pipeline</w:t>
      </w:r>
    </w:p>
    <w:p>
      <w:pPr>
        <w:spacing w:after="160" w:line="300"/>
        <w:jc w:val="both"/>
      </w:pPr>
      <w:r>
        <w:rPr>
          <w:rFonts w:ascii="Calibri" w:cs="Calibri" w:eastAsia="Calibri" w:hAnsi="Calibri"/>
          <w:sz w:val="22"/>
          <w:szCs w:val="22"/>
        </w:rPr>
        <w:t xml:space="preserve">The TextGenerator class handles all inference. It accepts the loaded model, tokenizer, runtime device, and a DecodingConfig dataclass, and exposes a single generate_batch method that takes a list of prompts and returns a list of generated responses.</w:t>
      </w:r>
    </w:p>
    <w:p>
      <w:pPr>
        <w:spacing w:after="160" w:line="300"/>
        <w:jc w:val="both"/>
      </w:pPr>
      <w:r>
        <w:rPr>
          <w:rFonts w:ascii="Calibri" w:cs="Calibri" w:eastAsia="Calibri" w:hAnsi="Calibri"/>
          <w:sz w:val="22"/>
          <w:szCs w:val="22"/>
        </w:rPr>
        <w:t xml:space="preserve">Each prompt passes through a formatting step. When use_chat_template is true (the default), the generator wraps the prompt in a single-message user-role list and applies the tokenizer's apply_chat_template method with add_generation_prompt=True. Critically, enable_thinking=False is also passed to this call so that Qwen3.x-family tokenizers, whose chat templates default to enabling a multi-step thinking block, do not silently consume the entire max_new_tokens budget producing &lt;thinking&gt;...&lt;/thinking&gt; output before reaching the answer. A TypeError handler catches tokenizers that do not accept the enable_thinking keyword and retries without it, falling back to a raw-prompt path only as a last resort.</w:t>
      </w:r>
    </w:p>
    <w:p>
      <w:pPr>
        <w:spacing w:after="160" w:line="300"/>
        <w:jc w:val="both"/>
      </w:pPr>
      <w:r>
        <w:rPr>
          <w:rFonts w:ascii="Calibri" w:cs="Calibri" w:eastAsia="Calibri" w:hAnsi="Calibri"/>
          <w:sz w:val="22"/>
          <w:szCs w:val="22"/>
        </w:rPr>
        <w:t xml:space="preserve">Generation itself uses torch.inference_mode and a do_sample=False decode path under temperature=0.0. Outputs are post-processed to strip the chat-template prefix and any trailing whitespace before being returned to the calling pipeline.</w:t>
      </w:r>
    </w:p>
    <w:p>
      <w:pPr>
        <w:pStyle w:val="Heading2"/>
        <w:spacing w:after="140" w:before="280"/>
      </w:pPr>
      <w:r>
        <w:rPr>
          <w:rFonts w:ascii="Calibri" w:cs="Calibri" w:eastAsia="Calibri" w:hAnsi="Calibri"/>
          <w:b/>
          <w:bCs/>
          <w:sz w:val="26"/>
          <w:szCs w:val="26"/>
        </w:rPr>
        <w:t xml:space="preserve">4.5 Benchmark Plugins</w:t>
      </w:r>
    </w:p>
    <w:p>
      <w:pPr>
        <w:spacing w:after="160" w:line="300"/>
        <w:jc w:val="both"/>
      </w:pPr>
      <w:r>
        <w:rPr>
          <w:rFonts w:ascii="Calibri" w:cs="Calibri" w:eastAsia="Calibri" w:hAnsi="Calibri"/>
          <w:sz w:val="22"/>
          <w:szCs w:val="22"/>
        </w:rPr>
        <w:t xml:space="preserve">Benchmarks are implemented as plugins behind a small abstract base class defined in ethical_benchmark/benchmarks/base.py. Every plugin implements four methods: load_items, build_prompt, score_response, and aggregate. load_items returns a deterministic, seeded sample of BenchmarkItem objects; build_prompt maps each item to a single user-facing prompt string; score_response evaluates a model response against the item and returns a dictionary of boolean and numeric score fields; aggregate consumes the full list of per-item score dictionaries and produces the final aggregated summary.</w:t>
      </w:r>
    </w:p>
    <w:p>
      <w:pPr>
        <w:spacing w:after="160" w:line="300"/>
        <w:jc w:val="both"/>
      </w:pPr>
      <w:r>
        <w:rPr>
          <w:rFonts w:ascii="Calibri" w:cs="Calibri" w:eastAsia="Calibri" w:hAnsi="Calibri"/>
          <w:sz w:val="22"/>
          <w:szCs w:val="22"/>
        </w:rPr>
        <w:t xml:space="preserve">Refusal detection is shared between HarmBench and XSTest through the benchmarks/utils.py module, which exposes a single classify_refusal function backed by a curated set of regex patterns. Centralising the refusal logic in a single function guarantees that HarmBench and XSTest see exactly the same notion of "refusal" — a non-trivial property since these two benchmarks measure opposite sides of the same phenomenon.</w:t>
      </w:r>
    </w:p>
    <w:p>
      <w:pPr>
        <w:spacing w:after="160" w:line="300"/>
        <w:jc w:val="both"/>
      </w:pPr>
      <w:r>
        <w:rPr>
          <w:rFonts w:ascii="Calibri" w:cs="Calibri" w:eastAsia="Calibri" w:hAnsi="Calibri"/>
          <w:sz w:val="22"/>
          <w:szCs w:val="22"/>
        </w:rPr>
        <w:t xml:space="preserve">The conceptual scoring loop, omitting error handling, is:</w:t>
      </w:r>
    </w:p>
    <w:p>
      <w:pPr>
        <w:shd w:fill="F2F2F2" w:color="auto" w:val="clear"/>
        <w:spacing w:after="0" w:line="240"/>
      </w:pPr>
      <w:r>
        <w:rPr>
          <w:rFonts w:ascii="Consolas" w:cs="Consolas" w:eastAsia="Consolas" w:hAnsi="Consolas"/>
          <w:sz w:val="18"/>
          <w:szCs w:val="18"/>
        </w:rPr>
        <w:t xml:space="preserve">items = plugin.load_items(max_samples=N, seed=42)</w:t>
      </w:r>
    </w:p>
    <w:p>
      <w:pPr>
        <w:shd w:fill="F2F2F2" w:color="auto" w:val="clear"/>
        <w:spacing w:after="0" w:line="240"/>
      </w:pPr>
      <w:r>
        <w:rPr>
          <w:rFonts w:ascii="Consolas" w:cs="Consolas" w:eastAsia="Consolas" w:hAnsi="Consolas"/>
          <w:sz w:val="18"/>
          <w:szCs w:val="18"/>
        </w:rPr>
        <w:t xml:space="preserve">prompts = [plugin.build_prompt(item) for item in items]</w:t>
      </w:r>
    </w:p>
    <w:p>
      <w:pPr>
        <w:shd w:fill="F2F2F2" w:color="auto" w:val="clear"/>
        <w:spacing w:after="0" w:line="240"/>
      </w:pPr>
      <w:r>
        <w:rPr>
          <w:rFonts w:ascii="Consolas" w:cs="Consolas" w:eastAsia="Consolas" w:hAnsi="Consolas"/>
          <w:sz w:val="18"/>
          <w:szCs w:val="18"/>
        </w:rPr>
        <w:t xml:space="preserve">responses = generator.generate_batch(prompts)</w:t>
      </w:r>
    </w:p>
    <w:p>
      <w:pPr>
        <w:shd w:fill="F2F2F2" w:color="auto" w:val="clear"/>
        <w:spacing w:after="0" w:line="240"/>
      </w:pPr>
      <w:r>
        <w:rPr>
          <w:rFonts w:ascii="Consolas" w:cs="Consolas" w:eastAsia="Consolas" w:hAnsi="Consolas"/>
          <w:sz w:val="18"/>
          <w:szCs w:val="18"/>
        </w:rPr>
        <w:t xml:space="preserve">scored = [plugin.score_response(it, r) for it, r in zip(items, responses)]</w:t>
      </w:r>
    </w:p>
    <w:p>
      <w:pPr>
        <w:shd w:fill="F2F2F2" w:color="auto" w:val="clear"/>
        <w:spacing w:after="0" w:line="240"/>
      </w:pPr>
      <w:r>
        <w:rPr>
          <w:rFonts w:ascii="Consolas" w:cs="Consolas" w:eastAsia="Consolas" w:hAnsi="Consolas"/>
          <w:sz w:val="18"/>
          <w:szCs w:val="18"/>
        </w:rPr>
        <w:t xml:space="preserve">summary = plugin.aggregate(scored)</w:t>
      </w:r>
    </w:p>
    <w:p>
      <w:pPr>
        <w:shd w:fill="F2F2F2" w:color="auto" w:val="clear"/>
        <w:spacing w:after="0" w:line="240"/>
      </w:pPr>
      <w:r>
        <w:rPr>
          <w:rFonts w:ascii="Consolas" w:cs="Consolas" w:eastAsia="Consolas" w:hAnsi="Consolas"/>
          <w:sz w:val="18"/>
          <w:szCs w:val="18"/>
        </w:rPr>
        <w:t xml:space="preserve">write_jsonl(per_item_records, raw_path)</w:t>
      </w:r>
    </w:p>
    <w:p>
      <w:pPr>
        <w:shd w:fill="F2F2F2" w:color="auto" w:val="clear"/>
        <w:spacing w:after="0" w:line="240"/>
      </w:pPr>
      <w:r>
        <w:rPr>
          <w:rFonts w:ascii="Consolas" w:cs="Consolas" w:eastAsia="Consolas" w:hAnsi="Consolas"/>
          <w:sz w:val="18"/>
          <w:szCs w:val="18"/>
        </w:rPr>
        <w:t xml:space="preserve">write_json(summary, summary_path)</w:t>
      </w:r>
    </w:p>
    <w:p>
      <w:pPr>
        <w:pStyle w:val="Heading2"/>
        <w:spacing w:after="140" w:before="280"/>
      </w:pPr>
      <w:r>
        <w:rPr>
          <w:rFonts w:ascii="Calibri" w:cs="Calibri" w:eastAsia="Calibri" w:hAnsi="Calibri"/>
          <w:b/>
          <w:bCs/>
          <w:sz w:val="26"/>
          <w:szCs w:val="26"/>
        </w:rPr>
        <w:t xml:space="preserve">4.6 Matrix Orchestration and Memory Management</w:t>
      </w:r>
    </w:p>
    <w:p>
      <w:pPr>
        <w:spacing w:after="160" w:line="300"/>
        <w:jc w:val="both"/>
      </w:pPr>
      <w:r>
        <w:rPr>
          <w:rFonts w:ascii="Calibri" w:cs="Calibri" w:eastAsia="Calibri" w:hAnsi="Calibri"/>
          <w:sz w:val="22"/>
          <w:szCs w:val="22"/>
        </w:rPr>
        <w:t xml:space="preserve">run_quant_matrix.py executes a full study or a filtered subset of it. The outer loop iterates over selected model aliases; the inner loop iterates over the benchmarks declared for each model. With the default reuse_loaded_model=True policy, each model is loaded exactly once and used for all of its benchmarks in sequence. This avoids two redundant load cycles per model (the most expensive operation in the pipeline) and keeps total wall-clock time well within the six-hour TC1 walltime budget.</w:t>
      </w:r>
    </w:p>
    <w:p>
      <w:pPr>
        <w:spacing w:after="160" w:line="300"/>
        <w:jc w:val="both"/>
      </w:pPr>
      <w:r>
        <w:rPr>
          <w:rFonts w:ascii="Calibri" w:cs="Calibri" w:eastAsia="Calibri" w:hAnsi="Calibri"/>
          <w:sz w:val="22"/>
          <w:szCs w:val="22"/>
        </w:rPr>
        <w:t xml:space="preserve">Memory management is critical on TC1, where each job is allocated only ten gigabytes of host RAM and a single GPU. A try/finally block surrounds the inner benchmark loop. When the inner loop completes (or any benchmark within it raises), the model, tokenizer, and generator references are explicitly deleted, gc.collect() is invoked, and torch.cuda.empty_cache() is called when CUDA is available. This sequence releases the GPU memory before the next model is loaded, preventing stacking-induced out-of-memory errors that would otherwise occur immediately when loading a second model into the same job (a case that does arise in local development but is structurally avoided on TC1 because each job runs a single model).</w:t>
      </w:r>
    </w:p>
    <w:p>
      <w:pPr>
        <w:pStyle w:val="Heading2"/>
        <w:spacing w:after="140" w:before="280"/>
      </w:pPr>
      <w:r>
        <w:rPr>
          <w:rFonts w:ascii="Calibri" w:cs="Calibri" w:eastAsia="Calibri" w:hAnsi="Calibri"/>
          <w:b/>
          <w:bCs/>
          <w:sz w:val="26"/>
          <w:szCs w:val="26"/>
        </w:rPr>
        <w:t xml:space="preserve">4.7 Resume and Checkpointing</w:t>
      </w:r>
    </w:p>
    <w:p>
      <w:pPr>
        <w:spacing w:after="160" w:line="300"/>
        <w:jc w:val="both"/>
      </w:pPr>
      <w:r>
        <w:rPr>
          <w:rFonts w:ascii="Calibri" w:cs="Calibri" w:eastAsia="Calibri" w:hAnsi="Calibri"/>
          <w:sz w:val="22"/>
          <w:szCs w:val="22"/>
        </w:rPr>
        <w:t xml:space="preserve">Long-running jobs need to be robust to walltime exhaustion and transient failures. The framework treats raw.jsonl as the source of truth for which prompts have already been processed: every successfully scored prompt is immediately appended to raw.jsonl, with its prompt_id as a stable record key. On startup, the get_processed_prompt_ids helper reads the existing raw.jsonl (if any) and returns the set of prompt_ids already on disk. prepare_remaining_items then filters the freshly-loaded benchmark items, keeping only those whose prompt_ids are not in the processed set.</w:t>
      </w:r>
    </w:p>
    <w:p>
      <w:pPr>
        <w:spacing w:after="160" w:line="300"/>
        <w:jc w:val="both"/>
      </w:pPr>
      <w:r>
        <w:rPr>
          <w:rFonts w:ascii="Calibri" w:cs="Calibri" w:eastAsia="Calibri" w:hAnsi="Calibri"/>
          <w:sz w:val="22"/>
          <w:szCs w:val="22"/>
        </w:rPr>
        <w:t xml:space="preserve">The granularity of the resume mechanism is the (model, benchmark, prompt_id) triple. Three concrete recovery scenarios are worth stating explicitly. If a job is killed during XSTest for qwen_2b_4bit, HarmBench (whose raw.jsonl is complete) is skipped entirely on the next submission; XSTest (whose raw.jsonl is partial) is resumed at the next unprocessed prompt; MMLU (whose raw.jsonl does not yet exist) runs from scratch. If a model fails to load (a deterministic OOM, for example), the entire model's benchmark suite is lost for that job; the operator can re-submit with --model and --benchmark filters to chunk the workload differently.</w:t>
      </w:r>
    </w:p>
    <w:p>
      <w:pPr>
        <w:pStyle w:val="Heading2"/>
        <w:spacing w:after="140" w:before="280"/>
      </w:pPr>
      <w:r>
        <w:rPr>
          <w:rFonts w:ascii="Calibri" w:cs="Calibri" w:eastAsia="Calibri" w:hAnsi="Calibri"/>
          <w:b/>
          <w:bCs/>
          <w:sz w:val="26"/>
          <w:szCs w:val="26"/>
        </w:rPr>
        <w:t xml:space="preserve">4.8 SLURM Job Generation</w:t>
      </w:r>
    </w:p>
    <w:p>
      <w:pPr>
        <w:spacing w:after="160" w:line="300"/>
        <w:jc w:val="both"/>
      </w:pPr>
      <w:r>
        <w:rPr>
          <w:rFonts w:ascii="Calibri" w:cs="Calibri" w:eastAsia="Calibri" w:hAnsi="Calibri"/>
          <w:sz w:val="22"/>
          <w:szCs w:val="22"/>
        </w:rPr>
        <w:t xml:space="preserve">Cluster orchestration is handled by ethical_benchmark/cluster/generate_jobs.py. The generator reads the loaded configuration's slurm section and emits one sbatch file per scheduling unit. A --group_by flag controls the granularity: with group_by=benchmark, one sbatch is generated per (model, benchmark) pair (eighteen scripts for the six-model, three-benchmark matrix); with group_by=model (the default for TC1), one sbatch is generated per model alias, and that script invokes run_quant_matrix.py so the model is loaded only once.</w:t>
      </w:r>
    </w:p>
    <w:p>
      <w:pPr>
        <w:spacing w:after="160" w:line="300"/>
        <w:jc w:val="both"/>
      </w:pPr>
      <w:r>
        <w:rPr>
          <w:rFonts w:ascii="Calibri" w:cs="Calibri" w:eastAsia="Calibri" w:hAnsi="Calibri"/>
          <w:sz w:val="22"/>
          <w:szCs w:val="22"/>
        </w:rPr>
        <w:t xml:space="preserve">Each generated sbatch contains the standard SBATCH directives (partition UGGPU-TC1, qos normal, gres gpu:1, cpus-per-task 1, mem 10G, time 06:00:00), output and error log paths, a set -euo pipefail line, a cd into the configured work_dir, a mkdir -p of the log directory, the configured setup_commands (module load slurm, module load anaconda, source activate fyp-tc1), and finally the python invocation with the model alias and configuration path passed in. Six sbatch files are produced for the present configuration, one per model alias.</w:t>
      </w:r>
    </w:p>
    <w:p>
      <w:pPr>
        <w:pStyle w:val="Heading2"/>
        <w:spacing w:after="140" w:before="280"/>
      </w:pPr>
      <w:r>
        <w:rPr>
          <w:rFonts w:ascii="Calibri" w:cs="Calibri" w:eastAsia="Calibri" w:hAnsi="Calibri"/>
          <w:b/>
          <w:bCs/>
          <w:sz w:val="26"/>
          <w:szCs w:val="26"/>
        </w:rPr>
        <w:t xml:space="preserve">4.9 Output Artifacts</w:t>
      </w:r>
    </w:p>
    <w:p>
      <w:pPr>
        <w:spacing w:after="160" w:line="300"/>
        <w:jc w:val="both"/>
      </w:pPr>
      <w:r>
        <w:rPr>
          <w:rFonts w:ascii="Calibri" w:cs="Calibri" w:eastAsia="Calibri" w:hAnsi="Calibri"/>
          <w:sz w:val="22"/>
          <w:szCs w:val="22"/>
        </w:rPr>
        <w:t xml:space="preserve">Every (model, benchmark) run produces a fixed set of files under the results directory. raw.jsonl contains one JSON object per prompt with the prompt text, the model response, the per-response score fields, and the run metadata (model alias, model_id, family, pair_id, quantized flag, seed, generation_config, timestamp). summary.json contains the aggregated metrics, with bootstrap confidence intervals where applicable, alongside the same run metadata. The aggregator also appends a flat row to results/summary/&lt;benchmark&gt;_runs.csv, producing a single CSV per benchmark that records all model runs.</w:t>
      </w:r>
    </w:p>
    <w:p>
      <w:pPr>
        <w:spacing w:after="160" w:line="300"/>
        <w:jc w:val="both"/>
      </w:pPr>
      <w:r>
        <w:rPr>
          <w:rFonts w:ascii="Calibri" w:cs="Calibri" w:eastAsia="Calibri" w:hAnsi="Calibri"/>
          <w:sz w:val="22"/>
          <w:szCs w:val="22"/>
        </w:rPr>
        <w:t xml:space="preserve">The analysis stage produces results/analysis/pairwise_deltas.json and .csv (one row per (pair_id, benchmark, metric) with absolute and relative deltas), results/analysis/pair_interpretations.csv (one row per pair with the interpretation label and the three component deltas), and results/analysis/quantization_analysis_summary.json (high-level study-wide summary).</w:t>
      </w:r>
    </w:p>
    <w:p>
      <w:pPr>
        <w:pStyle w:val="Heading2"/>
        <w:spacing w:after="140" w:before="280"/>
      </w:pPr>
      <w:r>
        <w:rPr>
          <w:rFonts w:ascii="Calibri" w:cs="Calibri" w:eastAsia="Calibri" w:hAnsi="Calibri"/>
          <w:b/>
          <w:bCs/>
          <w:sz w:val="26"/>
          <w:szCs w:val="26"/>
        </w:rPr>
        <w:t xml:space="preserve">4.10 Testing</w:t>
      </w:r>
    </w:p>
    <w:p>
      <w:pPr>
        <w:spacing w:after="160" w:line="300"/>
        <w:jc w:val="both"/>
      </w:pPr>
      <w:r>
        <w:rPr>
          <w:rFonts w:ascii="Calibri" w:cs="Calibri" w:eastAsia="Calibri" w:hAnsi="Calibri"/>
          <w:sz w:val="22"/>
          <w:szCs w:val="22"/>
        </w:rPr>
        <w:t xml:space="preserve">The repository ships with a verification suite of 122 automated tests across twelve test files. The full distribution is recorded in Appendix D. Coverage areas include the dataset and benchmark loaders, the legacy evaluators (retained for backward compatibility), model loader specifics including dtype resolution and quantized-flag propagation, the prompt-formatting logic with explicit tests for enable_thinking handling, the matrix-reuse behaviour (verifying that reuse_loaded_model=True loads each model only once), the analysis module's pairwise delta computation, the per-prompt schema validator, the resume-helper functions, the refusal-parser regex correctness, and the SLURM job generator including the per-benchmark and per-model grouping modes. All 122 tests pass on the current commit.</w:t>
      </w:r>
    </w:p>
    <w:p>
      <w:pPr>
        <w:pStyle w:val="Heading2"/>
        <w:spacing w:after="140" w:before="280"/>
      </w:pPr>
      <w:r>
        <w:rPr>
          <w:rFonts w:ascii="Calibri" w:cs="Calibri" w:eastAsia="Calibri" w:hAnsi="Calibri"/>
          <w:b/>
          <w:bCs/>
          <w:sz w:val="26"/>
          <w:szCs w:val="26"/>
        </w:rPr>
        <w:t xml:space="preserve">4.11 CLI and Operational Interface</w:t>
      </w:r>
    </w:p>
    <w:p>
      <w:pPr>
        <w:spacing w:after="160" w:line="300"/>
        <w:jc w:val="both"/>
      </w:pPr>
      <w:r>
        <w:rPr>
          <w:rFonts w:ascii="Calibri" w:cs="Calibri" w:eastAsia="Calibri" w:hAnsi="Calibri"/>
          <w:sz w:val="22"/>
          <w:szCs w:val="22"/>
        </w:rPr>
        <w:t xml:space="preserve">The unified CLI fyp_cli.py exposes seven subcommands, summarised in Table 4.2. Each subcommand accepts the common options --config, --results_dir, and --log_level, plus a small number of subcommand-specific arguments. The Makefile provides convenient targets that wrap these invocations.</w:t>
      </w:r>
    </w:p>
    <w:tbl>
      <w:tblPr>
        <w:tblW w:type="dxa" w:w="9360"/>
        <w:tblBorders>
          <w:top w:val="single" w:color="999999" w:sz="4"/>
          <w:left w:val="single" w:color="999999" w:sz="4"/>
          <w:bottom w:val="single" w:color="999999" w:sz="4"/>
          <w:right w:val="single" w:color="999999" w:sz="4"/>
          <w:insideH w:val="single" w:color="999999" w:sz="4"/>
          <w:insideV w:val="single" w:color="999999" w:sz="4"/>
        </w:tblBorders>
      </w:tblPr>
      <w:tblGrid>
        <w:gridCol w:w="2200"/>
        <w:gridCol w:w="7160"/>
      </w:tblGrid>
      <w:tr>
        <w:trPr>
          <w:tblHeader/>
        </w:trPr>
        <w:tc>
          <w:tcPr>
            <w:tcW w:type="dxa" w:w="22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Subcommand</w:t>
            </w:r>
          </w:p>
        </w:tc>
        <w:tc>
          <w:tcPr>
            <w:tcW w:type="dxa" w:w="716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Purpose</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smoke</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Run a small-sample sanity check on one (model, benchmark) pair.</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run</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Run one (model, benchmark) pair with the full sample budget.</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matrix</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Run the full or a filtered subset of the (model × benchmark) matrix.</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analyze</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Compute pairwise deltas and produce interpretation labels.</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cluster-generate</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Emit SLURM sbatch files for the configured study.</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cluster-submit</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Submit the generated sbatch files; --dry_run prints planned submissions.</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cluster-check</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Poll squeue and the filesystem to report job and output status.</w:t>
            </w:r>
          </w:p>
        </w:tc>
      </w:tr>
    </w:tbl>
    <w:p>
      <w:pPr>
        <w:spacing w:after="120" w:line="300"/>
      </w:pPr>
      <w:r>
        <w:rPr>
          <w:rFonts w:ascii="Calibri" w:cs="Calibri" w:eastAsia="Calibri" w:hAnsi="Calibri"/>
          <w:sz w:val="18"/>
          <w:szCs w:val="18"/>
        </w:rPr>
        <w:t xml:space="preserve">Table 4.2  CLI subcommands exposed by fyp_cli.py.</w:t>
      </w:r>
    </w:p>
    <w:p>
      <w:pPr>
        <w:pStyle w:val="Heading1"/>
        <w:pageBreakBefore/>
        <w:spacing w:after="200" w:before="360"/>
      </w:pPr>
      <w:r>
        <w:rPr>
          <w:rFonts w:ascii="Calibri" w:cs="Calibri" w:eastAsia="Calibri" w:hAnsi="Calibri"/>
          <w:b/>
          <w:bCs/>
          <w:sz w:val="32"/>
          <w:szCs w:val="32"/>
        </w:rPr>
        <w:t xml:space="preserve">Chapter 5 — Experimental Setup</w:t>
      </w:r>
    </w:p>
    <w:p>
      <w:pPr>
        <w:pStyle w:val="Heading2"/>
        <w:spacing w:after="140" w:before="280"/>
      </w:pPr>
      <w:r>
        <w:rPr>
          <w:rFonts w:ascii="Calibri" w:cs="Calibri" w:eastAsia="Calibri" w:hAnsi="Calibri"/>
          <w:b/>
          <w:bCs/>
          <w:sz w:val="26"/>
          <w:szCs w:val="26"/>
        </w:rPr>
        <w:t xml:space="preserve">5.1 Hardware and Cluster Environment</w:t>
      </w:r>
    </w:p>
    <w:p>
      <w:pPr>
        <w:spacing w:after="160" w:line="300"/>
        <w:jc w:val="both"/>
      </w:pPr>
      <w:r>
        <w:rPr>
          <w:rFonts w:ascii="Calibri" w:cs="Calibri" w:eastAsia="Calibri" w:hAnsi="Calibri"/>
          <w:sz w:val="22"/>
          <w:szCs w:val="22"/>
        </w:rPr>
        <w:t xml:space="preserve">All experiments are run on the NTU TC1 GPU cluster, a shared facility operated by the College of Computing and Data Science for undergraduate and postgraduate research workloads. Account access was approved in March 2026 with the parameters listed in Table 5.1.</w:t>
      </w:r>
    </w:p>
    <w:tbl>
      <w:tblPr>
        <w:tblW w:type="dxa" w:w="9360"/>
        <w:tblBorders>
          <w:top w:val="single" w:color="999999" w:sz="4"/>
          <w:left w:val="single" w:color="999999" w:sz="4"/>
          <w:bottom w:val="single" w:color="999999" w:sz="4"/>
          <w:right w:val="single" w:color="999999" w:sz="4"/>
          <w:insideH w:val="single" w:color="999999" w:sz="4"/>
          <w:insideV w:val="single" w:color="999999" w:sz="4"/>
        </w:tblBorders>
      </w:tblPr>
      <w:tblGrid>
        <w:gridCol w:w="4200"/>
        <w:gridCol w:w="5160"/>
      </w:tblGrid>
      <w:tr>
        <w:trPr>
          <w:tblHeader/>
        </w:trPr>
        <w:tc>
          <w:tcPr>
            <w:tcW w:type="dxa" w:w="42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Parameter</w:t>
            </w:r>
          </w:p>
        </w:tc>
        <w:tc>
          <w:tcPr>
            <w:tcW w:type="dxa" w:w="516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Value</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Login host (IP)</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10.96.189.11</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Username</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utan001</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Home directory</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/tc1home/FYP/utan001</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Partition</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UGGPU-TC1</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QoS</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normal</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GPU resources per job</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1 GPU (gres=gpu:1)</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CPU per task</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1</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Memory per job</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10 GB</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Maximum walltime per job</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06:00:00</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MaxSubmit (concurrent jobs)</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Storage quota</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300 GB</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Account window</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March 2026 – November 2026</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Backup policy</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None (user-managed backups)</w:t>
            </w:r>
          </w:p>
        </w:tc>
      </w:tr>
    </w:tbl>
    <w:p>
      <w:pPr>
        <w:spacing w:after="120" w:line="300"/>
      </w:pPr>
      <w:r>
        <w:rPr>
          <w:rFonts w:ascii="Calibri" w:cs="Calibri" w:eastAsia="Calibri" w:hAnsi="Calibri"/>
          <w:sz w:val="18"/>
          <w:szCs w:val="18"/>
        </w:rPr>
        <w:t xml:space="preserve">Table 5.1  TC1 cluster hardware and policy parameters relevant to this study.</w:t>
      </w:r>
    </w:p>
    <w:p>
      <w:pPr>
        <w:pStyle w:val="Heading2"/>
        <w:spacing w:after="140" w:before="280"/>
      </w:pPr>
      <w:r>
        <w:rPr>
          <w:rFonts w:ascii="Calibri" w:cs="Calibri" w:eastAsia="Calibri" w:hAnsi="Calibri"/>
          <w:b/>
          <w:bCs/>
          <w:sz w:val="26"/>
          <w:szCs w:val="26"/>
        </w:rPr>
        <w:t xml:space="preserve">5.2 Software Environment</w:t>
      </w:r>
    </w:p>
    <w:p>
      <w:pPr>
        <w:spacing w:after="160" w:line="300"/>
        <w:jc w:val="both"/>
      </w:pPr>
      <w:r>
        <w:rPr>
          <w:rFonts w:ascii="Calibri" w:cs="Calibri" w:eastAsia="Calibri" w:hAnsi="Calibri"/>
          <w:sz w:val="22"/>
          <w:szCs w:val="22"/>
        </w:rPr>
        <w:t xml:space="preserve">A dedicated conda environment, fyp-tc1, was created on TC1 and validated by importing the principal ML stack. The relevant versions are listed in Table 5.2.</w:t>
      </w:r>
    </w:p>
    <w:tbl>
      <w:tblPr>
        <w:tblW w:type="dxa" w:w="9360"/>
        <w:tblBorders>
          <w:top w:val="single" w:color="999999" w:sz="4"/>
          <w:left w:val="single" w:color="999999" w:sz="4"/>
          <w:bottom w:val="single" w:color="999999" w:sz="4"/>
          <w:right w:val="single" w:color="999999" w:sz="4"/>
          <w:insideH w:val="single" w:color="999999" w:sz="4"/>
          <w:insideV w:val="single" w:color="999999" w:sz="4"/>
        </w:tblBorders>
      </w:tblPr>
      <w:tblGrid>
        <w:gridCol w:w="4200"/>
        <w:gridCol w:w="5160"/>
      </w:tblGrid>
      <w:tr>
        <w:trPr>
          <w:tblHeader/>
        </w:trPr>
        <w:tc>
          <w:tcPr>
            <w:tcW w:type="dxa" w:w="42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Package</w:t>
            </w:r>
          </w:p>
        </w:tc>
        <w:tc>
          <w:tcPr>
            <w:tcW w:type="dxa" w:w="516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Version</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Python</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3.11.15</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torch</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2.11.0+cu130</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transformers</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5.5.0</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bitsandbytes</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(installed; NF4 support verified)</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pydantic</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(installed via requirements.txt)</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datasets</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(installed via requirements.txt)</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numpy</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(installed via requirements.txt)</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pytest</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(installed via requirements.txt; 122 tests passing)</w:t>
            </w:r>
          </w:p>
        </w:tc>
      </w:tr>
    </w:tbl>
    <w:p>
      <w:pPr>
        <w:spacing w:after="120" w:line="300"/>
      </w:pPr>
      <w:r>
        <w:rPr>
          <w:rFonts w:ascii="Calibri" w:cs="Calibri" w:eastAsia="Calibri" w:hAnsi="Calibri"/>
          <w:sz w:val="18"/>
          <w:szCs w:val="18"/>
        </w:rPr>
        <w:t xml:space="preserve">Table 5.2  Software environment versions on TC1.</w:t>
      </w:r>
    </w:p>
    <w:p>
      <w:pPr>
        <w:pStyle w:val="Heading2"/>
        <w:spacing w:after="140" w:before="280"/>
      </w:pPr>
      <w:r>
        <w:rPr>
          <w:rFonts w:ascii="Calibri" w:cs="Calibri" w:eastAsia="Calibri" w:hAnsi="Calibri"/>
          <w:b/>
          <w:bCs/>
          <w:sz w:val="26"/>
          <w:szCs w:val="26"/>
        </w:rPr>
        <w:t xml:space="preserve">5.3 Hugging Face Access</w:t>
      </w:r>
    </w:p>
    <w:p>
      <w:pPr>
        <w:spacing w:after="160" w:line="300"/>
        <w:jc w:val="both"/>
      </w:pPr>
      <w:r>
        <w:rPr>
          <w:rFonts w:ascii="Calibri" w:cs="Calibri" w:eastAsia="Calibri" w:hAnsi="Calibri"/>
          <w:sz w:val="22"/>
          <w:szCs w:val="22"/>
        </w:rPr>
        <w:t xml:space="preserve">The Qwen pairs draw from open-access checkpoints under the techwithsergiu namespace and require no authentication. The Llama pair, by contrast, uses meta-llama/Llama-3.2-3B-Instruct, which is gated under the Meta Llama community license. Access requires a Hugging Face account to have accepted the relevant model license, and the access token must be available to the running process on TC1 (typically via huggingface-cli login executed on the login node, populating ~/.cache/huggingface/token, which is then inherited by the compute jobs). This is documented in the TC1 runbook and listed as a precondition for the Llama jobs.</w:t>
      </w:r>
    </w:p>
    <w:p>
      <w:pPr>
        <w:pStyle w:val="Heading2"/>
        <w:spacing w:after="140" w:before="280"/>
      </w:pPr>
      <w:r>
        <w:rPr>
          <w:rFonts w:ascii="Calibri" w:cs="Calibri" w:eastAsia="Calibri" w:hAnsi="Calibri"/>
          <w:b/>
          <w:bCs/>
          <w:sz w:val="26"/>
          <w:szCs w:val="26"/>
        </w:rPr>
        <w:t xml:space="preserve">5.4 Run Plan</w:t>
      </w:r>
    </w:p>
    <w:p>
      <w:pPr>
        <w:spacing w:after="160" w:line="300"/>
        <w:jc w:val="both"/>
      </w:pPr>
      <w:r>
        <w:rPr>
          <w:rFonts w:ascii="Calibri" w:cs="Calibri" w:eastAsia="Calibri" w:hAnsi="Calibri"/>
          <w:sz w:val="22"/>
          <w:szCs w:val="22"/>
        </w:rPr>
        <w:t xml:space="preserve">With group_by=model, the framework emits six sbatch files — one per model alias. Each script runs the full three-benchmark suite for its model with the model loaded only once, exploiting the matrix runner's reuse_loaded_model=True default. The six scripts are:</w:t>
      </w:r>
    </w:p>
    <w:p>
      <w:pPr>
        <w:pStyle w:val="ListParagraph"/>
        <w:numPr>
          <w:ilvl w:val="0"/>
          <w:numId w:val="2"/>
        </w:numPr>
        <w:spacing w:after="80" w:line="280"/>
      </w:pPr>
      <w:r>
        <w:rPr>
          <w:rFonts w:ascii="Calibri" w:cs="Calibri" w:eastAsia="Calibri" w:hAnsi="Calibri"/>
          <w:sz w:val="22"/>
          <w:szCs w:val="22"/>
        </w:rPr>
        <w:t xml:space="preserve">qwen_2b_base__matrix.sbatch</w:t>
      </w:r>
    </w:p>
    <w:p>
      <w:pPr>
        <w:pStyle w:val="ListParagraph"/>
        <w:numPr>
          <w:ilvl w:val="0"/>
          <w:numId w:val="2"/>
        </w:numPr>
        <w:spacing w:after="80" w:line="280"/>
      </w:pPr>
      <w:r>
        <w:rPr>
          <w:rFonts w:ascii="Calibri" w:cs="Calibri" w:eastAsia="Calibri" w:hAnsi="Calibri"/>
          <w:sz w:val="22"/>
          <w:szCs w:val="22"/>
        </w:rPr>
        <w:t xml:space="preserve">qwen_2b_4bit__matrix.sbatch</w:t>
      </w:r>
    </w:p>
    <w:p>
      <w:pPr>
        <w:pStyle w:val="ListParagraph"/>
        <w:numPr>
          <w:ilvl w:val="0"/>
          <w:numId w:val="2"/>
        </w:numPr>
        <w:spacing w:after="80" w:line="280"/>
      </w:pPr>
      <w:r>
        <w:rPr>
          <w:rFonts w:ascii="Calibri" w:cs="Calibri" w:eastAsia="Calibri" w:hAnsi="Calibri"/>
          <w:sz w:val="22"/>
          <w:szCs w:val="22"/>
        </w:rPr>
        <w:t xml:space="preserve">qwen_4b_base__matrix.sbatch</w:t>
      </w:r>
    </w:p>
    <w:p>
      <w:pPr>
        <w:pStyle w:val="ListParagraph"/>
        <w:numPr>
          <w:ilvl w:val="0"/>
          <w:numId w:val="2"/>
        </w:numPr>
        <w:spacing w:after="80" w:line="280"/>
      </w:pPr>
      <w:r>
        <w:rPr>
          <w:rFonts w:ascii="Calibri" w:cs="Calibri" w:eastAsia="Calibri" w:hAnsi="Calibri"/>
          <w:sz w:val="22"/>
          <w:szCs w:val="22"/>
        </w:rPr>
        <w:t xml:space="preserve">qwen_4b_4bit__matrix.sbatch</w:t>
      </w:r>
    </w:p>
    <w:p>
      <w:pPr>
        <w:pStyle w:val="ListParagraph"/>
        <w:numPr>
          <w:ilvl w:val="0"/>
          <w:numId w:val="2"/>
        </w:numPr>
        <w:spacing w:after="80" w:line="280"/>
      </w:pPr>
      <w:r>
        <w:rPr>
          <w:rFonts w:ascii="Calibri" w:cs="Calibri" w:eastAsia="Calibri" w:hAnsi="Calibri"/>
          <w:sz w:val="22"/>
          <w:szCs w:val="22"/>
        </w:rPr>
        <w:t xml:space="preserve">llama_3_2_3b_base__matrix.sbatch</w:t>
      </w:r>
    </w:p>
    <w:p>
      <w:pPr>
        <w:pStyle w:val="ListParagraph"/>
        <w:numPr>
          <w:ilvl w:val="0"/>
          <w:numId w:val="2"/>
        </w:numPr>
        <w:spacing w:after="80" w:line="280"/>
      </w:pPr>
      <w:r>
        <w:rPr>
          <w:rFonts w:ascii="Calibri" w:cs="Calibri" w:eastAsia="Calibri" w:hAnsi="Calibri"/>
          <w:sz w:val="22"/>
          <w:szCs w:val="22"/>
        </w:rPr>
        <w:t xml:space="preserve">llama_3_2_3b_4bit__matrix.sbatch</w:t>
      </w:r>
    </w:p>
    <w:p>
      <w:pPr>
        <w:spacing w:after="160" w:line="300"/>
        <w:jc w:val="both"/>
      </w:pPr>
      <w:r>
        <w:rPr>
          <w:rFonts w:ascii="Calibri" w:cs="Calibri" w:eastAsia="Calibri" w:hAnsi="Calibri"/>
          <w:sz w:val="22"/>
          <w:szCs w:val="22"/>
        </w:rPr>
        <w:t xml:space="preserve">With MaxSubmit=2 enforced by the cluster policy, the six jobs are processed in three sequential pairs in the worst case. The six-hour walltime per job is intentionally generous; smoke profiling on local hardware suggests that the per-model matrix is likely to complete in two to four hours on a single TC1 GPU at the configured sample budgets, leaving substantial headroom for unexpected slowdowns.</w:t>
      </w:r>
    </w:p>
    <w:p>
      <w:pPr>
        <w:pStyle w:val="Heading2"/>
        <w:spacing w:after="140" w:before="280"/>
      </w:pPr>
      <w:r>
        <w:rPr>
          <w:rFonts w:ascii="Calibri" w:cs="Calibri" w:eastAsia="Calibri" w:hAnsi="Calibri"/>
          <w:b/>
          <w:bCs/>
          <w:sz w:val="26"/>
          <w:szCs w:val="26"/>
        </w:rPr>
        <w:t xml:space="preserve">5.5 Reproducibility Notes</w:t>
      </w:r>
    </w:p>
    <w:p>
      <w:pPr>
        <w:spacing w:after="160" w:line="300"/>
        <w:jc w:val="both"/>
      </w:pPr>
      <w:r>
        <w:rPr>
          <w:rFonts w:ascii="Calibri" w:cs="Calibri" w:eastAsia="Calibri" w:hAnsi="Calibri"/>
          <w:sz w:val="22"/>
          <w:szCs w:val="22"/>
        </w:rPr>
        <w:t xml:space="preserve">All runs share the same global seed (42), deterministic dataset shuffling, and deterministic decoding. The exact commit hash of the framework at the time of the final result run will be recorded in the final report and will accompany the result tables. Per-prompt records are persisted to raw.jsonl with full metadata, so the entire study can be re-executed (or selectively rerun) from any future repository checkout.</w:t>
      </w:r>
    </w:p>
    <w:p>
      <w:pPr>
        <w:pStyle w:val="Heading1"/>
        <w:pageBreakBefore/>
        <w:spacing w:after="200" w:before="360"/>
      </w:pPr>
      <w:r>
        <w:rPr>
          <w:rFonts w:ascii="Calibri" w:cs="Calibri" w:eastAsia="Calibri" w:hAnsi="Calibri"/>
          <w:b/>
          <w:bCs/>
          <w:sz w:val="32"/>
          <w:szCs w:val="32"/>
        </w:rPr>
        <w:t xml:space="preserve">Chapter 6 — Intended Results and Analysis Plan</w:t>
      </w:r>
    </w:p>
    <w:p>
      <w:pPr>
        <w:spacing w:after="160" w:line="300"/>
        <w:jc w:val="both"/>
      </w:pPr>
      <w:r>
        <w:rPr>
          <w:rFonts w:ascii="Calibri" w:cs="Calibri" w:eastAsia="Calibri" w:hAnsi="Calibri"/>
          <w:sz w:val="22"/>
          <w:szCs w:val="22"/>
        </w:rPr>
        <w:t xml:space="preserve">Experimental runs are pending submission on TC1 at the time of this interim report. This chapter documents the analysis plan and the structure into which the results will be slotted once the runs complete.</w:t>
      </w:r>
    </w:p>
    <w:p>
      <w:pPr>
        <w:pStyle w:val="Heading2"/>
        <w:spacing w:after="140" w:before="280"/>
      </w:pPr>
      <w:r>
        <w:rPr>
          <w:rFonts w:ascii="Calibri" w:cs="Calibri" w:eastAsia="Calibri" w:hAnsi="Calibri"/>
          <w:b/>
          <w:bCs/>
          <w:sz w:val="26"/>
          <w:szCs w:val="26"/>
        </w:rPr>
        <w:t xml:space="preserve">6.1 Reporting Schema</w:t>
      </w:r>
    </w:p>
    <w:p>
      <w:pPr>
        <w:spacing w:after="160" w:line="300"/>
        <w:jc w:val="both"/>
      </w:pPr>
      <w:r>
        <w:rPr>
          <w:rFonts w:ascii="Calibri" w:cs="Calibri" w:eastAsia="Calibri" w:hAnsi="Calibri"/>
          <w:sz w:val="22"/>
          <w:szCs w:val="22"/>
        </w:rPr>
        <w:t xml:space="preserve">For each of the three pairs, the final report will present a single results table summarising baseline and four-bit metric values, their absolute and relative deltas, and the interpretation label. The schema is shown in Table 6.1.</w:t>
      </w:r>
    </w:p>
    <w:tbl>
      <w:tblPr>
        <w:tblW w:type="dxa" w:w="9360"/>
        <w:tblBorders>
          <w:top w:val="single" w:color="999999" w:sz="4"/>
          <w:left w:val="single" w:color="999999" w:sz="4"/>
          <w:bottom w:val="single" w:color="999999" w:sz="4"/>
          <w:right w:val="single" w:color="999999" w:sz="4"/>
          <w:insideH w:val="single" w:color="999999" w:sz="4"/>
          <w:insideV w:val="single" w:color="999999" w:sz="4"/>
        </w:tblBorders>
      </w:tblPr>
      <w:tblGrid>
        <w:gridCol w:w="1600"/>
        <w:gridCol w:w="1900"/>
        <w:gridCol w:w="1700"/>
        <w:gridCol w:w="1700"/>
        <w:gridCol w:w="1230"/>
        <w:gridCol w:w="1230"/>
      </w:tblGrid>
      <w:tr>
        <w:trPr>
          <w:tblHeader/>
        </w:trPr>
        <w:tc>
          <w:tcPr>
            <w:tcW w:type="dxa" w:w="16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Pair</w:t>
            </w:r>
          </w:p>
        </w:tc>
        <w:tc>
          <w:tcPr>
            <w:tcW w:type="dxa" w:w="19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Metric</w:t>
            </w:r>
          </w:p>
        </w:tc>
        <w:tc>
          <w:tcPr>
            <w:tcW w:type="dxa" w:w="17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Baseline (95% CI)</w:t>
            </w:r>
          </w:p>
        </w:tc>
        <w:tc>
          <w:tcPr>
            <w:tcW w:type="dxa" w:w="17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4-bit (95% CI)</w:t>
            </w:r>
          </w:p>
        </w:tc>
        <w:tc>
          <w:tcPr>
            <w:tcW w:type="dxa" w:w="123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ΔAbsolute</w:t>
            </w:r>
          </w:p>
        </w:tc>
        <w:tc>
          <w:tcPr>
            <w:tcW w:type="dxa" w:w="123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ΔRelative</w:t>
            </w:r>
          </w:p>
        </w:tc>
      </w:tr>
      <w:tr>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qwen_2b</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HarmBench ASR</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(pending)</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(pending)</w:t>
            </w:r>
          </w:p>
        </w:tc>
        <w:tc>
          <w:tcPr>
            <w:tcW w:type="dxa" w:w="123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(pending)</w:t>
            </w:r>
          </w:p>
        </w:tc>
        <w:tc>
          <w:tcPr>
            <w:tcW w:type="dxa" w:w="123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(pending)</w:t>
            </w:r>
          </w:p>
        </w:tc>
      </w:tr>
      <w:tr>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qwen_2b</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XSTest over-refusal</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(pending)</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(pending)</w:t>
            </w:r>
          </w:p>
        </w:tc>
        <w:tc>
          <w:tcPr>
            <w:tcW w:type="dxa" w:w="123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(pending)</w:t>
            </w:r>
          </w:p>
        </w:tc>
        <w:tc>
          <w:tcPr>
            <w:tcW w:type="dxa" w:w="123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(pending)</w:t>
            </w:r>
          </w:p>
        </w:tc>
      </w:tr>
      <w:tr>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qwen_2b</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MMLU accuracy</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(pending)</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(pending)</w:t>
            </w:r>
          </w:p>
        </w:tc>
        <w:tc>
          <w:tcPr>
            <w:tcW w:type="dxa" w:w="123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(pending)</w:t>
            </w:r>
          </w:p>
        </w:tc>
        <w:tc>
          <w:tcPr>
            <w:tcW w:type="dxa" w:w="123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(pending)</w:t>
            </w:r>
          </w:p>
        </w:tc>
      </w:tr>
      <w:tr>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qwen_4b</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HarmBench ASR</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(pending)</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(pending)</w:t>
            </w:r>
          </w:p>
        </w:tc>
        <w:tc>
          <w:tcPr>
            <w:tcW w:type="dxa" w:w="123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(pending)</w:t>
            </w:r>
          </w:p>
        </w:tc>
        <w:tc>
          <w:tcPr>
            <w:tcW w:type="dxa" w:w="123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(pending)</w:t>
            </w:r>
          </w:p>
        </w:tc>
      </w:tr>
      <w:tr>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qwen_4b</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XSTest over-refusal</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(pending)</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(pending)</w:t>
            </w:r>
          </w:p>
        </w:tc>
        <w:tc>
          <w:tcPr>
            <w:tcW w:type="dxa" w:w="123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(pending)</w:t>
            </w:r>
          </w:p>
        </w:tc>
        <w:tc>
          <w:tcPr>
            <w:tcW w:type="dxa" w:w="123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(pending)</w:t>
            </w:r>
          </w:p>
        </w:tc>
      </w:tr>
      <w:tr>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qwen_4b</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MMLU accuracy</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(pending)</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(pending)</w:t>
            </w:r>
          </w:p>
        </w:tc>
        <w:tc>
          <w:tcPr>
            <w:tcW w:type="dxa" w:w="123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(pending)</w:t>
            </w:r>
          </w:p>
        </w:tc>
        <w:tc>
          <w:tcPr>
            <w:tcW w:type="dxa" w:w="123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(pending)</w:t>
            </w:r>
          </w:p>
        </w:tc>
      </w:tr>
      <w:tr>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llama_3_2_3b</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HarmBench ASR</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(pending)</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(pending)</w:t>
            </w:r>
          </w:p>
        </w:tc>
        <w:tc>
          <w:tcPr>
            <w:tcW w:type="dxa" w:w="123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(pending)</w:t>
            </w:r>
          </w:p>
        </w:tc>
        <w:tc>
          <w:tcPr>
            <w:tcW w:type="dxa" w:w="123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(pending)</w:t>
            </w:r>
          </w:p>
        </w:tc>
      </w:tr>
      <w:tr>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llama_3_2_3b</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XSTest over-refusal</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(pending)</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(pending)</w:t>
            </w:r>
          </w:p>
        </w:tc>
        <w:tc>
          <w:tcPr>
            <w:tcW w:type="dxa" w:w="123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(pending)</w:t>
            </w:r>
          </w:p>
        </w:tc>
        <w:tc>
          <w:tcPr>
            <w:tcW w:type="dxa" w:w="123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(pending)</w:t>
            </w:r>
          </w:p>
        </w:tc>
      </w:tr>
      <w:tr>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llama_3_2_3b</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MMLU accuracy</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(pending)</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(pending)</w:t>
            </w:r>
          </w:p>
        </w:tc>
        <w:tc>
          <w:tcPr>
            <w:tcW w:type="dxa" w:w="123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(pending)</w:t>
            </w:r>
          </w:p>
        </w:tc>
        <w:tc>
          <w:tcPr>
            <w:tcW w:type="dxa" w:w="123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(pending)</w:t>
            </w:r>
          </w:p>
        </w:tc>
      </w:tr>
    </w:tbl>
    <w:p>
      <w:pPr>
        <w:spacing w:after="120" w:line="300"/>
      </w:pPr>
      <w:r>
        <w:rPr>
          <w:rFonts w:ascii="Calibri" w:cs="Calibri" w:eastAsia="Calibri" w:hAnsi="Calibri"/>
          <w:sz w:val="18"/>
          <w:szCs w:val="18"/>
        </w:rPr>
        <w:t xml:space="preserve">Table 6.1  Per-pair reporting schema. The (pending) cells will be populated by the TC1 runs.</w:t>
      </w:r>
    </w:p>
    <w:p>
      <w:pPr>
        <w:pStyle w:val="Heading2"/>
        <w:spacing w:after="140" w:before="280"/>
      </w:pPr>
      <w:r>
        <w:rPr>
          <w:rFonts w:ascii="Calibri" w:cs="Calibri" w:eastAsia="Calibri" w:hAnsi="Calibri"/>
          <w:b/>
          <w:bCs/>
          <w:sz w:val="26"/>
          <w:szCs w:val="26"/>
        </w:rPr>
        <w:t xml:space="preserve">6.2 Within-Family Scale Analysis (RQ4)</w:t>
      </w:r>
    </w:p>
    <w:p>
      <w:pPr>
        <w:spacing w:after="160" w:line="300"/>
        <w:jc w:val="both"/>
      </w:pPr>
      <w:r>
        <w:rPr>
          <w:rFonts w:ascii="Calibri" w:cs="Calibri" w:eastAsia="Calibri" w:hAnsi="Calibri"/>
          <w:sz w:val="22"/>
          <w:szCs w:val="22"/>
        </w:rPr>
        <w:t xml:space="preserve">RQ4 asks whether the magnitude of the quantization effect differs between two-billion and four-billion parameter Qwen models. The within-family scale analysis will compare the three deltas (ΔASR, Δover-refusal, ΔMMLU) computed for the qwen_2b pair against those computed for the qwen_4b pair. Two specific patterns are expected to be observable. If the smaller model is more sensitive to compression, the absolute magnitude of its deltas should be systematically larger across the three axes. If the deltas are comparable, the conclusion will be that within this regime (two to four billion parameters), quantization effects are scale-invariant.</w:t>
      </w:r>
    </w:p>
    <w:p>
      <w:pPr>
        <w:pStyle w:val="Heading2"/>
        <w:spacing w:after="140" w:before="280"/>
      </w:pPr>
      <w:r>
        <w:rPr>
          <w:rFonts w:ascii="Calibri" w:cs="Calibri" w:eastAsia="Calibri" w:hAnsi="Calibri"/>
          <w:b/>
          <w:bCs/>
          <w:sz w:val="26"/>
          <w:szCs w:val="26"/>
        </w:rPr>
        <w:t xml:space="preserve">6.3 Cross-Family Replication (RQ5)</w:t>
      </w:r>
    </w:p>
    <w:p>
      <w:pPr>
        <w:spacing w:after="160" w:line="300"/>
        <w:jc w:val="both"/>
      </w:pPr>
      <w:r>
        <w:rPr>
          <w:rFonts w:ascii="Calibri" w:cs="Calibri" w:eastAsia="Calibri" w:hAnsi="Calibri"/>
          <w:sz w:val="22"/>
          <w:szCs w:val="22"/>
        </w:rPr>
        <w:t xml:space="preserve">RQ5 asks whether the Qwen pattern replicates qualitatively in Llama 3.2 3B. The cross-family analysis examines two properties: sign consistency (do the Llama deltas have the same sign as the Qwen deltas across all three benchmarks?) and approximate magnitude (are the Llama deltas similar in scale, smaller, or larger?). Because the two families differ in tokenizer, training data, and alignment recipe, this comparison is descriptive: it can rule out or support cross-family generalisation of the within-Qwen findings but cannot make strong causal claims about quantization-family interactions.</w:t>
      </w:r>
    </w:p>
    <w:p>
      <w:pPr>
        <w:pStyle w:val="Heading2"/>
        <w:spacing w:after="140" w:before="280"/>
      </w:pPr>
      <w:r>
        <w:rPr>
          <w:rFonts w:ascii="Calibri" w:cs="Calibri" w:eastAsia="Calibri" w:hAnsi="Calibri"/>
          <w:b/>
          <w:bCs/>
          <w:sz w:val="26"/>
          <w:szCs w:val="26"/>
        </w:rPr>
        <w:t xml:space="preserve">6.4 Capability Anchoring</w:t>
      </w:r>
    </w:p>
    <w:p>
      <w:pPr>
        <w:spacing w:after="160" w:line="300"/>
        <w:jc w:val="both"/>
      </w:pPr>
      <w:r>
        <w:rPr>
          <w:rFonts w:ascii="Calibri" w:cs="Calibri" w:eastAsia="Calibri" w:hAnsi="Calibri"/>
          <w:sz w:val="22"/>
          <w:szCs w:val="22"/>
        </w:rPr>
        <w:t xml:space="preserve">Capability anchoring is the core methodological contribution of the interpretation framework. Each pair's MMLU delta is used as a covariate when interpreting its HarmBench and XSTest deltas. Four canonical outcomes are tracked:</w:t>
      </w:r>
    </w:p>
    <w:p>
      <w:pPr>
        <w:pStyle w:val="ListParagraph"/>
        <w:numPr>
          <w:ilvl w:val="0"/>
          <w:numId w:val="2"/>
        </w:numPr>
        <w:spacing w:after="80" w:line="280"/>
      </w:pPr>
      <w:r>
        <w:rPr>
          <w:rFonts w:ascii="Calibri" w:cs="Calibri" w:eastAsia="Calibri" w:hAnsi="Calibri"/>
          <w:sz w:val="22"/>
          <w:szCs w:val="22"/>
        </w:rPr>
        <w:t xml:space="preserve">Alignment shift: capability is preserved, but refusal calibration moves (either HarmBench ASR rises or XSTest over-refusal rises or both).</w:t>
      </w:r>
    </w:p>
    <w:p>
      <w:pPr>
        <w:pStyle w:val="ListParagraph"/>
        <w:numPr>
          <w:ilvl w:val="0"/>
          <w:numId w:val="2"/>
        </w:numPr>
        <w:spacing w:after="80" w:line="280"/>
      </w:pPr>
      <w:r>
        <w:rPr>
          <w:rFonts w:ascii="Calibri" w:cs="Calibri" w:eastAsia="Calibri" w:hAnsi="Calibri"/>
          <w:sz w:val="22"/>
          <w:szCs w:val="22"/>
        </w:rPr>
        <w:t xml:space="preserve">Capability-driven safety artifact: MMLU drops noticeably, and the safety metrics also move; the safety movement is attributed to capability collapse rather than to an alignment change.</w:t>
      </w:r>
    </w:p>
    <w:p>
      <w:pPr>
        <w:pStyle w:val="ListParagraph"/>
        <w:numPr>
          <w:ilvl w:val="0"/>
          <w:numId w:val="2"/>
        </w:numPr>
        <w:spacing w:after="80" w:line="280"/>
      </w:pPr>
      <w:r>
        <w:rPr>
          <w:rFonts w:ascii="Calibri" w:cs="Calibri" w:eastAsia="Calibri" w:hAnsi="Calibri"/>
          <w:sz w:val="22"/>
          <w:szCs w:val="22"/>
        </w:rPr>
        <w:t xml:space="preserve">Robust preservation: all three deltas are small in magnitude; quantization is effectively neutral.</w:t>
      </w:r>
    </w:p>
    <w:p>
      <w:pPr>
        <w:pStyle w:val="ListParagraph"/>
        <w:numPr>
          <w:ilvl w:val="0"/>
          <w:numId w:val="2"/>
        </w:numPr>
        <w:spacing w:after="80" w:line="280"/>
      </w:pPr>
      <w:r>
        <w:rPr>
          <w:rFonts w:ascii="Calibri" w:cs="Calibri" w:eastAsia="Calibri" w:hAnsi="Calibri"/>
          <w:sz w:val="22"/>
          <w:szCs w:val="22"/>
        </w:rPr>
        <w:t xml:space="preserve">Broad degradation: capability and both safety metrics worsen simultaneously.</w:t>
      </w:r>
    </w:p>
    <w:p>
      <w:pPr>
        <w:spacing w:after="160" w:line="300"/>
        <w:jc w:val="both"/>
      </w:pPr>
      <w:r>
        <w:rPr>
          <w:rFonts w:ascii="Calibri" w:cs="Calibri" w:eastAsia="Calibri" w:hAnsi="Calibri"/>
          <w:sz w:val="22"/>
          <w:szCs w:val="22"/>
        </w:rPr>
        <w:t xml:space="preserve">This decomposition is the principal mechanism through which the study addresses the central research question.</w:t>
      </w:r>
    </w:p>
    <w:p>
      <w:pPr>
        <w:pStyle w:val="Heading2"/>
        <w:spacing w:after="140" w:before="280"/>
      </w:pPr>
      <w:r>
        <w:rPr>
          <w:rFonts w:ascii="Calibri" w:cs="Calibri" w:eastAsia="Calibri" w:hAnsi="Calibri"/>
          <w:b/>
          <w:bCs/>
          <w:sz w:val="26"/>
          <w:szCs w:val="26"/>
        </w:rPr>
        <w:t xml:space="preserve">6.5 Statistical Caveats</w:t>
      </w:r>
    </w:p>
    <w:p>
      <w:pPr>
        <w:spacing w:after="160" w:line="300"/>
        <w:jc w:val="both"/>
      </w:pPr>
      <w:r>
        <w:rPr>
          <w:rFonts w:ascii="Calibri" w:cs="Calibri" w:eastAsia="Calibri" w:hAnsi="Calibri"/>
          <w:sz w:val="22"/>
          <w:szCs w:val="22"/>
        </w:rPr>
        <w:t xml:space="preserve">Three statistical limitations should be borne in mind when interpreting the eventual results. First, with 400 samples per safety benchmark, the bootstrap 95% confidence interval on a binomial-proportion metric such as ASR is approximately ±5 percentage points; small deltas may not be statistically distinguishable from zero. Second, decoding is deterministic at temperature 0.0, so the only source of variance reflected in the confidence intervals is prompt sampling — there is no within-condition stochastic variance. Third, the MMLU subset comprises 300 questions distributed across six subjects; subject-level accuracy estimates are correspondingly noisy and are not reported as primary statistics. A planned future-work item proposes re-running a subset of pairs at temperature 0.7 with multiple seeds to provide an independent estimate of stochastic variance.</w:t>
      </w:r>
    </w:p>
    <w:p>
      <w:pPr>
        <w:pStyle w:val="Heading1"/>
        <w:pageBreakBefore/>
        <w:spacing w:after="200" w:before="360"/>
      </w:pPr>
      <w:r>
        <w:rPr>
          <w:rFonts w:ascii="Calibri" w:cs="Calibri" w:eastAsia="Calibri" w:hAnsi="Calibri"/>
          <w:b/>
          <w:bCs/>
          <w:sz w:val="32"/>
          <w:szCs w:val="32"/>
        </w:rPr>
        <w:t xml:space="preserve">Chapter 7 — Discussion and Threats to Validity</w:t>
      </w:r>
    </w:p>
    <w:p>
      <w:pPr>
        <w:pStyle w:val="Heading2"/>
        <w:spacing w:after="140" w:before="280"/>
      </w:pPr>
      <w:r>
        <w:rPr>
          <w:rFonts w:ascii="Calibri" w:cs="Calibri" w:eastAsia="Calibri" w:hAnsi="Calibri"/>
          <w:b/>
          <w:bCs/>
          <w:sz w:val="26"/>
          <w:szCs w:val="26"/>
        </w:rPr>
        <w:t xml:space="preserve">7.1 Internal Validity</w:t>
      </w:r>
    </w:p>
    <w:p>
      <w:pPr>
        <w:spacing w:after="160" w:line="300"/>
        <w:jc w:val="both"/>
      </w:pPr>
      <w:r>
        <w:rPr>
          <w:rFonts w:ascii="Calibri" w:cs="Calibri" w:eastAsia="Calibri" w:hAnsi="Calibri"/>
          <w:sz w:val="22"/>
          <w:szCs w:val="22"/>
        </w:rPr>
        <w:t xml:space="preserve">Internal validity is the strongest property of the present design. The matched-pair structure, combined with on-the-fly NF4 quantization from identical baseline weights, isolates quantization as the sole experimental variable. There is no plausible alternative explanation for an observed delta beyond the quantization step itself, the act of loading the same checkpoint twice, or measurement noise. Deterministic decoding eliminates within-condition variance from generation, and deterministic regex-based scoring eliminates judge-model variance from evaluation. The resume logic prevents partial-run contamination: every reported metric is computed from a complete raw.jsonl that contains exactly the configured number of prompts.</w:t>
      </w:r>
    </w:p>
    <w:p>
      <w:pPr>
        <w:pStyle w:val="Heading2"/>
        <w:spacing w:after="140" w:before="280"/>
      </w:pPr>
      <w:r>
        <w:rPr>
          <w:rFonts w:ascii="Calibri" w:cs="Calibri" w:eastAsia="Calibri" w:hAnsi="Calibri"/>
          <w:b/>
          <w:bCs/>
          <w:sz w:val="26"/>
          <w:szCs w:val="26"/>
        </w:rPr>
        <w:t xml:space="preserve">7.2 External Validity</w:t>
      </w:r>
    </w:p>
    <w:p>
      <w:pPr>
        <w:spacing w:after="160" w:line="300"/>
        <w:jc w:val="both"/>
      </w:pPr>
      <w:r>
        <w:rPr>
          <w:rFonts w:ascii="Calibri" w:cs="Calibri" w:eastAsia="Calibri" w:hAnsi="Calibri"/>
          <w:sz w:val="22"/>
          <w:szCs w:val="22"/>
        </w:rPr>
        <w:t xml:space="preserve">External validity is bounded by three explicit design choices. First, findings are bounded to BitsAndBytes NF4 quantization. Alternative methods such as GPTQ, AWQ, and the GGUF family used by llama.cpp may produce different effects, both quantitatively and qualitatively; the present study does not claim to characterise those methods. Second, the techwithsergiu Qwen baselines are text-only derivatives of a multimodal Qwen series produced by removing the visual tower. Results therefore describe quantization behaviour on that specific weight provenance and may not transfer perfectly to the official Qwen 2.5 or Qwen 3 instruction checkpoints that are more commonly deployed in production. Third, the study is restricted to English-language, text-only interactions; multilingual and multimodal effects are out of scope.</w:t>
      </w:r>
    </w:p>
    <w:p>
      <w:pPr>
        <w:pStyle w:val="Heading2"/>
        <w:spacing w:after="140" w:before="280"/>
      </w:pPr>
      <w:r>
        <w:rPr>
          <w:rFonts w:ascii="Calibri" w:cs="Calibri" w:eastAsia="Calibri" w:hAnsi="Calibri"/>
          <w:b/>
          <w:bCs/>
          <w:sz w:val="26"/>
          <w:szCs w:val="26"/>
        </w:rPr>
        <w:t xml:space="preserve">7.3 Construct Validity</w:t>
      </w:r>
    </w:p>
    <w:p>
      <w:pPr>
        <w:spacing w:after="160" w:line="300"/>
        <w:jc w:val="both"/>
      </w:pPr>
      <w:r>
        <w:rPr>
          <w:rFonts w:ascii="Calibri" w:cs="Calibri" w:eastAsia="Calibri" w:hAnsi="Calibri"/>
          <w:sz w:val="22"/>
          <w:szCs w:val="22"/>
        </w:rPr>
        <w:t xml:space="preserve">Each benchmark operationalises its dimension in a specific way. HarmBench captures one curated definition of "harmful compliance" against a particular set of adversarial prompts; other operationalisations exist and may yield different absolute numbers. XSTest captures over-refusal against a specific distribution of benign-but-suspicious prompts. The MMLU subset, even with diverse subject coverage, is a partial capability proxy and does not measure all reasoning capacities relevant to deployment (such as code generation, long-context reasoning, or tool use). These construct boundaries are common in safety evaluation but should be borne in mind when interpreting the results.</w:t>
      </w:r>
    </w:p>
    <w:p>
      <w:pPr>
        <w:pStyle w:val="Heading2"/>
        <w:spacing w:after="140" w:before="280"/>
      </w:pPr>
      <w:r>
        <w:rPr>
          <w:rFonts w:ascii="Calibri" w:cs="Calibri" w:eastAsia="Calibri" w:hAnsi="Calibri"/>
          <w:b/>
          <w:bCs/>
          <w:sz w:val="26"/>
          <w:szCs w:val="26"/>
        </w:rPr>
        <w:t xml:space="preserve">7.4 Refusal Parser Trade-offs</w:t>
      </w:r>
    </w:p>
    <w:p>
      <w:pPr>
        <w:spacing w:after="160" w:line="300"/>
        <w:jc w:val="both"/>
      </w:pPr>
      <w:r>
        <w:rPr>
          <w:rFonts w:ascii="Calibri" w:cs="Calibri" w:eastAsia="Calibri" w:hAnsi="Calibri"/>
          <w:sz w:val="22"/>
          <w:szCs w:val="22"/>
        </w:rPr>
        <w:t xml:space="preserve">The deterministic regex-based refusal parser was selected for reproducibility and transparency, and against the alternative of using a separate judge LLM. The trade-off is sensitivity. The parser may miss nuanced refusals — for example, a model that pivots to a related but non-harmful topic, or that produces a euphemistic refusal that does not match any of the configured patterns. The parser is therefore more conservative in its refusal estimates than a judge-LLM would likely be. The Future Work chapter proposes a sensitivity check in which a subset of responses is independently scored by a judge LLM and the resulting rates are compared against the deterministic parser as an additional validity check.</w:t>
      </w:r>
    </w:p>
    <w:p>
      <w:pPr>
        <w:pStyle w:val="Heading2"/>
        <w:spacing w:after="140" w:before="280"/>
      </w:pPr>
      <w:r>
        <w:rPr>
          <w:rFonts w:ascii="Calibri" w:cs="Calibri" w:eastAsia="Calibri" w:hAnsi="Calibri"/>
          <w:b/>
          <w:bCs/>
          <w:sz w:val="26"/>
          <w:szCs w:val="26"/>
        </w:rPr>
        <w:t xml:space="preserve">7.5 Cross-Family Comparison Caveat</w:t>
      </w:r>
    </w:p>
    <w:p>
      <w:pPr>
        <w:spacing w:after="160" w:line="300"/>
        <w:jc w:val="both"/>
      </w:pPr>
      <w:r>
        <w:rPr>
          <w:rFonts w:ascii="Calibri" w:cs="Calibri" w:eastAsia="Calibri" w:hAnsi="Calibri"/>
          <w:sz w:val="22"/>
          <w:szCs w:val="22"/>
        </w:rPr>
        <w:t xml:space="preserve">The Qwen-versus-Llama comparison should be read as descriptive only. Qwen and Llama differ in tokenizer, pre-training corpus, instruction-tuning recipe, and safety-alignment methodology. Differences in their quantization deltas could plausibly reflect any combination of these factors, not just family identity. The cross-family component of the study therefore provides a useful robustness check on the within-Qwen findings but does not support causal claims about quantization–family interactions.</w:t>
      </w:r>
    </w:p>
    <w:p>
      <w:pPr>
        <w:pStyle w:val="Heading1"/>
        <w:pageBreakBefore/>
        <w:spacing w:after="200" w:before="360"/>
      </w:pPr>
      <w:r>
        <w:rPr>
          <w:rFonts w:ascii="Calibri" w:cs="Calibri" w:eastAsia="Calibri" w:hAnsi="Calibri"/>
          <w:b/>
          <w:bCs/>
          <w:sz w:val="32"/>
          <w:szCs w:val="32"/>
        </w:rPr>
        <w:t xml:space="preserve">Chapter 8 — Limitations</w:t>
      </w:r>
    </w:p>
    <w:p>
      <w:pPr>
        <w:spacing w:after="160" w:line="300"/>
        <w:jc w:val="both"/>
      </w:pPr>
      <w:r>
        <w:rPr>
          <w:rFonts w:ascii="Calibri" w:cs="Calibri" w:eastAsia="Calibri" w:hAnsi="Calibri"/>
          <w:sz w:val="22"/>
          <w:szCs w:val="22"/>
        </w:rPr>
        <w:t xml:space="preserve">The principal limitations of the study are summarised below. Each is acknowledged explicitly and, where possible, addressed in the Future Work chapter.</w:t>
      </w:r>
    </w:p>
    <w:p>
      <w:pPr>
        <w:pStyle w:val="ListParagraph"/>
        <w:numPr>
          <w:ilvl w:val="0"/>
          <w:numId w:val="3"/>
        </w:numPr>
        <w:spacing w:after="80" w:line="280"/>
      </w:pPr>
      <w:r>
        <w:rPr>
          <w:rFonts w:ascii="Calibri" w:cs="Calibri" w:eastAsia="Calibri" w:hAnsi="Calibri"/>
          <w:sz w:val="22"/>
          <w:szCs w:val="22"/>
        </w:rPr>
        <w:t xml:space="preserve">Single quantization method. Only BitsAndBytes NF4 four-bit quantization is evaluated. GPTQ, AWQ, GGUF, and INT8 paths are out of scope and are flagged for follow-up work.</w:t>
      </w:r>
    </w:p>
    <w:p>
      <w:pPr>
        <w:pStyle w:val="ListParagraph"/>
        <w:numPr>
          <w:ilvl w:val="0"/>
          <w:numId w:val="3"/>
        </w:numPr>
        <w:spacing w:after="80" w:line="280"/>
      </w:pPr>
      <w:r>
        <w:rPr>
          <w:rFonts w:ascii="Calibri" w:cs="Calibri" w:eastAsia="Calibri" w:hAnsi="Calibri"/>
          <w:sz w:val="22"/>
          <w:szCs w:val="22"/>
        </w:rPr>
        <w:t xml:space="preserve">Refusal parser approximation. The deterministic regex-based refusal parser is reproducible but may under-count nuanced refusals.</w:t>
      </w:r>
    </w:p>
    <w:p>
      <w:pPr>
        <w:pStyle w:val="ListParagraph"/>
        <w:numPr>
          <w:ilvl w:val="0"/>
          <w:numId w:val="3"/>
        </w:numPr>
        <w:spacing w:after="80" w:line="280"/>
      </w:pPr>
      <w:r>
        <w:rPr>
          <w:rFonts w:ascii="Calibri" w:cs="Calibri" w:eastAsia="Calibri" w:hAnsi="Calibri"/>
          <w:sz w:val="22"/>
          <w:szCs w:val="22"/>
        </w:rPr>
        <w:t xml:space="preserve">Partial capability proxy. The six-subject MMLU subset is a tractable but partial measure of general capability and does not include code generation, long-context reasoning, or tool-use evaluation.</w:t>
      </w:r>
    </w:p>
    <w:p>
      <w:pPr>
        <w:pStyle w:val="ListParagraph"/>
        <w:numPr>
          <w:ilvl w:val="0"/>
          <w:numId w:val="3"/>
        </w:numPr>
        <w:spacing w:after="80" w:line="280"/>
      </w:pPr>
      <w:r>
        <w:rPr>
          <w:rFonts w:ascii="Calibri" w:cs="Calibri" w:eastAsia="Calibri" w:hAnsi="Calibri"/>
          <w:sz w:val="22"/>
          <w:szCs w:val="22"/>
        </w:rPr>
        <w:t xml:space="preserve">Text-only, English-only scope. Multilingual and multimodal behavioural effects of quantization are out of scope.</w:t>
      </w:r>
    </w:p>
    <w:p>
      <w:pPr>
        <w:pStyle w:val="ListParagraph"/>
        <w:numPr>
          <w:ilvl w:val="0"/>
          <w:numId w:val="3"/>
        </w:numPr>
        <w:spacing w:after="80" w:line="280"/>
      </w:pPr>
      <w:r>
        <w:rPr>
          <w:rFonts w:ascii="Calibri" w:cs="Calibri" w:eastAsia="Calibri" w:hAnsi="Calibri"/>
          <w:sz w:val="22"/>
          <w:szCs w:val="22"/>
        </w:rPr>
        <w:t xml:space="preserve">Greedy decoding only. Temperature 0.0 is used throughout, eliminating within-condition stochastic variance from the analysis and precluding direct measurement of sample-to-sample variability.</w:t>
      </w:r>
    </w:p>
    <w:p>
      <w:pPr>
        <w:pStyle w:val="ListParagraph"/>
        <w:numPr>
          <w:ilvl w:val="0"/>
          <w:numId w:val="3"/>
        </w:numPr>
        <w:spacing w:after="80" w:line="280"/>
      </w:pPr>
      <w:r>
        <w:rPr>
          <w:rFonts w:ascii="Calibri" w:cs="Calibri" w:eastAsia="Calibri" w:hAnsi="Calibri"/>
          <w:sz w:val="22"/>
          <w:szCs w:val="22"/>
        </w:rPr>
        <w:t xml:space="preserve">Hardware and walltime constraints. Each TC1 job is allocated a single GPU, ten gigabytes of host memory, and six hours of walltime. Sample budgets and batch sizes are sized to fit comfortably within these constraints.</w:t>
      </w:r>
    </w:p>
    <w:p>
      <w:pPr>
        <w:pStyle w:val="ListParagraph"/>
        <w:numPr>
          <w:ilvl w:val="0"/>
          <w:numId w:val="3"/>
        </w:numPr>
        <w:spacing w:after="80" w:line="280"/>
      </w:pPr>
      <w:r>
        <w:rPr>
          <w:rFonts w:ascii="Calibri" w:cs="Calibri" w:eastAsia="Calibri" w:hAnsi="Calibri"/>
          <w:sz w:val="22"/>
          <w:szCs w:val="22"/>
        </w:rPr>
        <w:t xml:space="preserve">Sample-size-driven confidence intervals. With 400 prompts per safety benchmark, binomial-proportion confidence intervals are approximately ±5 percentage points wide; small deltas may not be statistically separable from zero.</w:t>
      </w:r>
    </w:p>
    <w:p>
      <w:pPr>
        <w:pStyle w:val="ListParagraph"/>
        <w:numPr>
          <w:ilvl w:val="0"/>
          <w:numId w:val="3"/>
        </w:numPr>
        <w:spacing w:after="80" w:line="280"/>
      </w:pPr>
      <w:r>
        <w:rPr>
          <w:rFonts w:ascii="Calibri" w:cs="Calibri" w:eastAsia="Calibri" w:hAnsi="Calibri"/>
          <w:sz w:val="22"/>
          <w:szCs w:val="22"/>
        </w:rPr>
        <w:t xml:space="preserve">Qwen baseline provenance. The Qwen baselines are text-only derivatives of a multimodal Qwen series. While both members of each pair inherit the same derivation, claims about "quantization effects on Qwen" are most safely interpreted as claims about quantization effects on these specific text-extracted derivatives.</w:t>
      </w:r>
    </w:p>
    <w:p>
      <w:pPr>
        <w:pStyle w:val="ListParagraph"/>
        <w:numPr>
          <w:ilvl w:val="0"/>
          <w:numId w:val="3"/>
        </w:numPr>
        <w:spacing w:after="80" w:line="280"/>
      </w:pPr>
      <w:r>
        <w:rPr>
          <w:rFonts w:ascii="Calibri" w:cs="Calibri" w:eastAsia="Calibri" w:hAnsi="Calibri"/>
          <w:sz w:val="22"/>
          <w:szCs w:val="22"/>
        </w:rPr>
        <w:t xml:space="preserve">Llama gated access. The Llama 3.2 3B pair depends on accepted gating on Hugging Face and a valid token available to the TC1 environment. Without this, the cross-family component of the study cannot run.</w:t>
      </w:r>
    </w:p>
    <w:p>
      <w:pPr>
        <w:pStyle w:val="Heading1"/>
        <w:pageBreakBefore/>
        <w:spacing w:after="200" w:before="360"/>
      </w:pPr>
      <w:r>
        <w:rPr>
          <w:rFonts w:ascii="Calibri" w:cs="Calibri" w:eastAsia="Calibri" w:hAnsi="Calibri"/>
          <w:b/>
          <w:bCs/>
          <w:sz w:val="32"/>
          <w:szCs w:val="32"/>
        </w:rPr>
        <w:t xml:space="preserve">Chapter 9 — Future Work</w:t>
      </w:r>
    </w:p>
    <w:p>
      <w:pPr>
        <w:spacing w:after="160" w:line="300"/>
        <w:jc w:val="both"/>
      </w:pPr>
      <w:r>
        <w:rPr>
          <w:rFonts w:ascii="Calibri" w:cs="Calibri" w:eastAsia="Calibri" w:hAnsi="Calibri"/>
          <w:sz w:val="22"/>
          <w:szCs w:val="22"/>
        </w:rPr>
        <w:t xml:space="preserve">The framework and methodology established by this study admit several natural extensions, listed in approximate order of practical impact.</w:t>
      </w:r>
    </w:p>
    <w:p>
      <w:pPr>
        <w:pStyle w:val="ListParagraph"/>
        <w:numPr>
          <w:ilvl w:val="0"/>
          <w:numId w:val="3"/>
        </w:numPr>
        <w:spacing w:after="80" w:line="280"/>
      </w:pPr>
      <w:r>
        <w:rPr>
          <w:rFonts w:ascii="Calibri" w:cs="Calibri" w:eastAsia="Calibri" w:hAnsi="Calibri"/>
          <w:sz w:val="22"/>
          <w:szCs w:val="22"/>
        </w:rPr>
        <w:t xml:space="preserve">Multi-method quantization comparison. Extend the matrix to include GPTQ, AWQ, and GGUF quantization paths on the same baselines, allowing direct comparison of how different PTQ algorithms perturb safety and capability.</w:t>
      </w:r>
    </w:p>
    <w:p>
      <w:pPr>
        <w:pStyle w:val="ListParagraph"/>
        <w:numPr>
          <w:ilvl w:val="0"/>
          <w:numId w:val="3"/>
        </w:numPr>
        <w:spacing w:after="80" w:line="280"/>
      </w:pPr>
      <w:r>
        <w:rPr>
          <w:rFonts w:ascii="Calibri" w:cs="Calibri" w:eastAsia="Calibri" w:hAnsi="Calibri"/>
          <w:sz w:val="22"/>
          <w:szCs w:val="22"/>
        </w:rPr>
        <w:t xml:space="preserve">Stochastic-decoding sensitivity arm. Re-run a representative subset of pairs at temperature 0.7 with three to five distinct seeds to obtain an independent estimate of within-condition variance. This would meaningfully strengthen the statistical claims of the primary study.</w:t>
      </w:r>
    </w:p>
    <w:p>
      <w:pPr>
        <w:pStyle w:val="ListParagraph"/>
        <w:numPr>
          <w:ilvl w:val="0"/>
          <w:numId w:val="3"/>
        </w:numPr>
        <w:spacing w:after="80" w:line="280"/>
      </w:pPr>
      <w:r>
        <w:rPr>
          <w:rFonts w:ascii="Calibri" w:cs="Calibri" w:eastAsia="Calibri" w:hAnsi="Calibri"/>
          <w:sz w:val="22"/>
          <w:szCs w:val="22"/>
        </w:rPr>
        <w:t xml:space="preserve">Expanded scale axis. Once primary results are in hand, extend the Qwen sweep to include a 0.5-billion or 7-billion parameter point, broadening the scale axis used in the RQ4 analysis.</w:t>
      </w:r>
    </w:p>
    <w:p>
      <w:pPr>
        <w:pStyle w:val="ListParagraph"/>
        <w:numPr>
          <w:ilvl w:val="0"/>
          <w:numId w:val="3"/>
        </w:numPr>
        <w:spacing w:after="80" w:line="280"/>
      </w:pPr>
      <w:r>
        <w:rPr>
          <w:rFonts w:ascii="Calibri" w:cs="Calibri" w:eastAsia="Calibri" w:hAnsi="Calibri"/>
          <w:sz w:val="22"/>
          <w:szCs w:val="22"/>
        </w:rPr>
        <w:t xml:space="preserve">Multilingual extension. Replicate the matched-pair design in Chinese (where Qwen is natively strong) and one low-resource language, to test whether quantization-induced safety changes are language-dependent.</w:t>
      </w:r>
    </w:p>
    <w:p>
      <w:pPr>
        <w:pStyle w:val="ListParagraph"/>
        <w:numPr>
          <w:ilvl w:val="0"/>
          <w:numId w:val="3"/>
        </w:numPr>
        <w:spacing w:after="80" w:line="280"/>
      </w:pPr>
      <w:r>
        <w:rPr>
          <w:rFonts w:ascii="Calibri" w:cs="Calibri" w:eastAsia="Calibri" w:hAnsi="Calibri"/>
          <w:sz w:val="22"/>
          <w:szCs w:val="22"/>
        </w:rPr>
        <w:t xml:space="preserve">Judge-LLM sensitivity check. Re-score a stratified sample of responses with an independent judge LLM (or an ensemble) and compare the resulting refusal rates against the deterministic parser's estimates.</w:t>
      </w:r>
    </w:p>
    <w:p>
      <w:pPr>
        <w:pStyle w:val="ListParagraph"/>
        <w:numPr>
          <w:ilvl w:val="0"/>
          <w:numId w:val="3"/>
        </w:numPr>
        <w:spacing w:after="80" w:line="280"/>
      </w:pPr>
      <w:r>
        <w:rPr>
          <w:rFonts w:ascii="Calibri" w:cs="Calibri" w:eastAsia="Calibri" w:hAnsi="Calibri"/>
          <w:sz w:val="22"/>
          <w:szCs w:val="22"/>
        </w:rPr>
        <w:t xml:space="preserve">Safety-preserving quantization. Investigate emerging "safety-preserving" quantization methods that explicitly seek to mitigate alignment degradation under PTQ, and compare them against the vanilla NF4 baseline studied here.</w:t>
      </w:r>
    </w:p>
    <w:p>
      <w:pPr>
        <w:pStyle w:val="Heading1"/>
        <w:pageBreakBefore/>
        <w:spacing w:after="200" w:before="360"/>
      </w:pPr>
      <w:r>
        <w:rPr>
          <w:rFonts w:ascii="Calibri" w:cs="Calibri" w:eastAsia="Calibri" w:hAnsi="Calibri"/>
          <w:b/>
          <w:bCs/>
          <w:sz w:val="32"/>
          <w:szCs w:val="32"/>
        </w:rPr>
        <w:t xml:space="preserve">Chapter 10 — Conclusion</w:t>
      </w:r>
    </w:p>
    <w:p>
      <w:pPr>
        <w:spacing w:after="160" w:line="300"/>
        <w:jc w:val="both"/>
      </w:pPr>
      <w:r>
        <w:rPr>
          <w:rFonts w:ascii="Calibri" w:cs="Calibri" w:eastAsia="Calibri" w:hAnsi="Calibri"/>
          <w:sz w:val="22"/>
          <w:szCs w:val="22"/>
        </w:rPr>
        <w:t xml:space="preserve">This Final Year Project investigates safety–capability trade-offs in four-bit quantized compact language models, focusing on a research question that institutional benchmarks have not directly answered: when a small instruction-tuned model is quantized for on-device deployment, do observed changes in safety behaviour reflect a true shift in alignment or a side-effect of degraded general capability?</w:t>
      </w:r>
    </w:p>
    <w:p>
      <w:pPr>
        <w:spacing w:after="160" w:line="300"/>
        <w:jc w:val="both"/>
      </w:pPr>
      <w:r>
        <w:rPr>
          <w:rFonts w:ascii="Calibri" w:cs="Calibri" w:eastAsia="Calibri" w:hAnsi="Calibri"/>
          <w:sz w:val="22"/>
          <w:szCs w:val="22"/>
        </w:rPr>
        <w:t xml:space="preserve">The methodological contribution is a controlled matched-pair design in which baseline and four-bit pair members are loaded from identical baseline weights, with NF4 quantization applied on the fly. This design eliminates publisher- and pipeline-asymmetry as confounds and provides the strongest practical isolation of quantization as the experimental variable. The engineering contribution is an open, reproducible benchmarking framework comprising the matched-pair pipeline, three benchmark plugins, the pairwise analysis layer with rule-based interpretation labels, full SLURM orchestration for the NTU TC1 cluster with resumable per-model matrix jobs, and a verification suite of 122 automated tests. The analytical contribution is the interpretation layer itself, which formalises the alignment-versus-capability disambiguation as a rule-based decision procedure over combined safety and capability deltas.</w:t>
      </w:r>
    </w:p>
    <w:p>
      <w:pPr>
        <w:spacing w:after="160" w:line="300"/>
        <w:jc w:val="both"/>
      </w:pPr>
      <w:r>
        <w:rPr>
          <w:rFonts w:ascii="Calibri" w:cs="Calibri" w:eastAsia="Calibri" w:hAnsi="Calibri"/>
          <w:sz w:val="22"/>
          <w:szCs w:val="22"/>
        </w:rPr>
        <w:t xml:space="preserve">The framework is complete, validated, and ready for cluster submission. Three pairs (Qwen 2B, Qwen 4B, and Llama 3.2 3B) are configured, six sbatch files have been generated, and the only remaining preconditions are confirmation of Hugging Face gating for the Llama pair and submission of the six jobs to TC1. The expected output is a set of pairwise deltas and interpretation labels that directly answer the five research questions, and a documented empirical baseline for future quantization-safety work in the compact-model regime.</w:t>
      </w:r>
    </w:p>
    <w:p>
      <w:pPr>
        <w:pStyle w:val="Heading1"/>
        <w:pageBreakBefore/>
        <w:spacing w:after="200" w:before="360"/>
      </w:pPr>
      <w:r>
        <w:rPr>
          <w:rFonts w:ascii="Calibri" w:cs="Calibri" w:eastAsia="Calibri" w:hAnsi="Calibri"/>
          <w:b/>
          <w:bCs/>
          <w:sz w:val="32"/>
          <w:szCs w:val="32"/>
        </w:rPr>
        <w:t xml:space="preserve">References</w:t>
      </w:r>
    </w:p>
    <w:p>
      <w:pPr>
        <w:spacing w:after="200" w:line="300"/>
      </w:pPr>
      <w:r>
        <w:rPr>
          <w:rFonts w:ascii="Calibri" w:cs="Calibri" w:eastAsia="Calibri" w:hAnsi="Calibri"/>
          <w:sz w:val="22"/>
          <w:szCs w:val="22"/>
        </w:rPr>
        <w:t xml:space="preserve">The following references are cited or contextually relevant. Final publication-grade formatting will be applied in the final FYP submission.</w:t>
      </w:r>
    </w:p>
    <w:p>
      <w:pPr>
        <w:pStyle w:val="ListParagraph"/>
        <w:numPr>
          <w:ilvl w:val="0"/>
          <w:numId w:val="3"/>
        </w:numPr>
        <w:spacing w:after="80" w:line="280"/>
      </w:pPr>
      <w:r>
        <w:rPr>
          <w:rFonts w:ascii="Calibri" w:cs="Calibri" w:eastAsia="Calibri" w:hAnsi="Calibri"/>
          <w:sz w:val="22"/>
          <w:szCs w:val="22"/>
        </w:rPr>
        <w:t xml:space="preserve">Sun, L., et al. TrustLLM: Trustworthiness in Large Language Models. arXiv:2401.05561, 2024.</w:t>
      </w:r>
    </w:p>
    <w:p>
      <w:pPr>
        <w:pStyle w:val="ListParagraph"/>
        <w:numPr>
          <w:ilvl w:val="0"/>
          <w:numId w:val="3"/>
        </w:numPr>
        <w:spacing w:after="80" w:line="280"/>
      </w:pPr>
      <w:r>
        <w:rPr>
          <w:rFonts w:ascii="Calibri" w:cs="Calibri" w:eastAsia="Calibri" w:hAnsi="Calibri"/>
          <w:sz w:val="22"/>
          <w:szCs w:val="22"/>
        </w:rPr>
        <w:t xml:space="preserve">Wang, B., et al. DecodingTrust: A Comprehensive Assessment of Trustworthiness in GPT Models. NeurIPS 2023 Datasets and Benchmarks Track.</w:t>
      </w:r>
    </w:p>
    <w:p>
      <w:pPr>
        <w:pStyle w:val="ListParagraph"/>
        <w:numPr>
          <w:ilvl w:val="0"/>
          <w:numId w:val="3"/>
        </w:numPr>
        <w:spacing w:after="80" w:line="280"/>
      </w:pPr>
      <w:r>
        <w:rPr>
          <w:rFonts w:ascii="Calibri" w:cs="Calibri" w:eastAsia="Calibri" w:hAnsi="Calibri"/>
          <w:sz w:val="22"/>
          <w:szCs w:val="22"/>
        </w:rPr>
        <w:t xml:space="preserve">Zhang, Z., et al. SafetyBench: Evaluating the Safety of Large Language Models. arXiv:2309.07045, 2023.</w:t>
      </w:r>
    </w:p>
    <w:p>
      <w:pPr>
        <w:pStyle w:val="ListParagraph"/>
        <w:numPr>
          <w:ilvl w:val="0"/>
          <w:numId w:val="3"/>
        </w:numPr>
        <w:spacing w:after="80" w:line="280"/>
      </w:pPr>
      <w:r>
        <w:rPr>
          <w:rFonts w:ascii="Calibri" w:cs="Calibri" w:eastAsia="Calibri" w:hAnsi="Calibri"/>
          <w:sz w:val="22"/>
          <w:szCs w:val="22"/>
        </w:rPr>
        <w:t xml:space="preserve">Mazeika, M., et al. HarmBench: A Standardized Evaluation Framework for Automated Red Teaming and Robust Refusal. arXiv:2402.04249, 2024.</w:t>
      </w:r>
    </w:p>
    <w:p>
      <w:pPr>
        <w:pStyle w:val="ListParagraph"/>
        <w:numPr>
          <w:ilvl w:val="0"/>
          <w:numId w:val="3"/>
        </w:numPr>
        <w:spacing w:after="80" w:line="280"/>
      </w:pPr>
      <w:r>
        <w:rPr>
          <w:rFonts w:ascii="Calibri" w:cs="Calibri" w:eastAsia="Calibri" w:hAnsi="Calibri"/>
          <w:sz w:val="22"/>
          <w:szCs w:val="22"/>
        </w:rPr>
        <w:t xml:space="preserve">Röttger, P., et al. XSTest: A Test Suite for Identifying Exaggerated Safety Behaviours in Large Language Models. arXiv:2308.01263, 2023.</w:t>
      </w:r>
    </w:p>
    <w:p>
      <w:pPr>
        <w:pStyle w:val="ListParagraph"/>
        <w:numPr>
          <w:ilvl w:val="0"/>
          <w:numId w:val="3"/>
        </w:numPr>
        <w:spacing w:after="80" w:line="280"/>
      </w:pPr>
      <w:r>
        <w:rPr>
          <w:rFonts w:ascii="Calibri" w:cs="Calibri" w:eastAsia="Calibri" w:hAnsi="Calibri"/>
          <w:sz w:val="22"/>
          <w:szCs w:val="22"/>
        </w:rPr>
        <w:t xml:space="preserve">Hendrycks, D., et al. Measuring Massive Multitask Language Understanding. ICLR 2021. (MMLU)</w:t>
      </w:r>
    </w:p>
    <w:p>
      <w:pPr>
        <w:pStyle w:val="ListParagraph"/>
        <w:numPr>
          <w:ilvl w:val="0"/>
          <w:numId w:val="3"/>
        </w:numPr>
        <w:spacing w:after="80" w:line="280"/>
      </w:pPr>
      <w:r>
        <w:rPr>
          <w:rFonts w:ascii="Calibri" w:cs="Calibri" w:eastAsia="Calibri" w:hAnsi="Calibri"/>
          <w:sz w:val="22"/>
          <w:szCs w:val="22"/>
        </w:rPr>
        <w:t xml:space="preserve">Dettmers, T., Pagnoni, A., Holtzman, A., Zettlemoyer, L. QLoRA: Efficient Finetuning of Quantized LLMs. NeurIPS 2023. (Introduces NF4 quantization and the bitsandbytes integration.)</w:t>
      </w:r>
    </w:p>
    <w:p>
      <w:pPr>
        <w:pStyle w:val="ListParagraph"/>
        <w:numPr>
          <w:ilvl w:val="0"/>
          <w:numId w:val="3"/>
        </w:numPr>
        <w:spacing w:after="80" w:line="280"/>
      </w:pPr>
      <w:r>
        <w:rPr>
          <w:rFonts w:ascii="Calibri" w:cs="Calibri" w:eastAsia="Calibri" w:hAnsi="Calibri"/>
          <w:sz w:val="22"/>
          <w:szCs w:val="22"/>
        </w:rPr>
        <w:t xml:space="preserve">Qwen Team. Qwen Technical Report Series (Qwen 2.5 / Qwen 3.x). Alibaba DAMO Academy, 2024–2025.</w:t>
      </w:r>
    </w:p>
    <w:p>
      <w:pPr>
        <w:pStyle w:val="ListParagraph"/>
        <w:numPr>
          <w:ilvl w:val="0"/>
          <w:numId w:val="3"/>
        </w:numPr>
        <w:spacing w:after="80" w:line="280"/>
      </w:pPr>
      <w:r>
        <w:rPr>
          <w:rFonts w:ascii="Calibri" w:cs="Calibri" w:eastAsia="Calibri" w:hAnsi="Calibri"/>
          <w:sz w:val="22"/>
          <w:szCs w:val="22"/>
        </w:rPr>
        <w:t xml:space="preserve">Meta AI. Llama 3.2 Model Family. Technical Report, 2024.</w:t>
      </w:r>
    </w:p>
    <w:p>
      <w:pPr>
        <w:pStyle w:val="ListParagraph"/>
        <w:numPr>
          <w:ilvl w:val="0"/>
          <w:numId w:val="3"/>
        </w:numPr>
        <w:spacing w:after="80" w:line="280"/>
      </w:pPr>
      <w:r>
        <w:rPr>
          <w:rFonts w:ascii="Calibri" w:cs="Calibri" w:eastAsia="Calibri" w:hAnsi="Calibri"/>
          <w:sz w:val="22"/>
          <w:szCs w:val="22"/>
        </w:rPr>
        <w:t xml:space="preserve">Liu, S., et al. Behavioural Effects of Quantization on Instruction-Tuned Models. arXiv:2402.16775, 2024. (placeholder)</w:t>
      </w:r>
    </w:p>
    <w:p>
      <w:pPr>
        <w:pStyle w:val="ListParagraph"/>
        <w:numPr>
          <w:ilvl w:val="0"/>
          <w:numId w:val="3"/>
        </w:numPr>
        <w:spacing w:after="80" w:line="280"/>
      </w:pPr>
      <w:r>
        <w:rPr>
          <w:rFonts w:ascii="Calibri" w:cs="Calibri" w:eastAsia="Calibri" w:hAnsi="Calibri"/>
          <w:sz w:val="22"/>
          <w:szCs w:val="22"/>
        </w:rPr>
        <w:t xml:space="preserve">Anonymous Authors. A Comprehensive Evaluation of Quantization Strategies for Large Language Models (1B–405B). arXiv:2409.11055, 2024. (placeholder)</w:t>
      </w:r>
    </w:p>
    <w:p>
      <w:pPr>
        <w:pStyle w:val="ListParagraph"/>
        <w:numPr>
          <w:ilvl w:val="0"/>
          <w:numId w:val="3"/>
        </w:numPr>
        <w:spacing w:after="80" w:line="280"/>
      </w:pPr>
      <w:r>
        <w:rPr>
          <w:rFonts w:ascii="Calibri" w:cs="Calibri" w:eastAsia="Calibri" w:hAnsi="Calibri"/>
          <w:sz w:val="22"/>
          <w:szCs w:val="22"/>
        </w:rPr>
        <w:t xml:space="preserve">Anonymous Authors. Safety and Trustworthiness Effects of Post-Training Quantization. arXiv:2502.15799, 2025. (placeholder)</w:t>
      </w:r>
    </w:p>
    <w:p>
      <w:pPr>
        <w:pStyle w:val="ListParagraph"/>
        <w:numPr>
          <w:ilvl w:val="0"/>
          <w:numId w:val="3"/>
        </w:numPr>
        <w:spacing w:after="80" w:line="280"/>
      </w:pPr>
      <w:r>
        <w:rPr>
          <w:rFonts w:ascii="Calibri" w:cs="Calibri" w:eastAsia="Calibri" w:hAnsi="Calibri"/>
          <w:sz w:val="22"/>
          <w:szCs w:val="22"/>
        </w:rPr>
        <w:t xml:space="preserve">Anonymous Authors. Safety-Preserving Quantization for Aligned LLMs. arXiv:2511.07842, 2025. (placeholder)</w:t>
      </w:r>
    </w:p>
    <w:p>
      <w:pPr>
        <w:pStyle w:val="Heading1"/>
        <w:pageBreakBefore/>
        <w:spacing w:after="200" w:before="360"/>
      </w:pPr>
      <w:r>
        <w:rPr>
          <w:rFonts w:ascii="Calibri" w:cs="Calibri" w:eastAsia="Calibri" w:hAnsi="Calibri"/>
          <w:b/>
          <w:bCs/>
          <w:sz w:val="32"/>
          <w:szCs w:val="32"/>
        </w:rPr>
        <w:t xml:space="preserve">Appendix A — Final TC1 Configuration</w:t>
      </w:r>
    </w:p>
    <w:p>
      <w:pPr>
        <w:spacing w:after="160" w:line="300"/>
        <w:jc w:val="both"/>
      </w:pPr>
      <w:r>
        <w:rPr>
          <w:rFonts w:ascii="Calibri" w:cs="Calibri" w:eastAsia="Calibri" w:hAnsi="Calibri"/>
          <w:sz w:val="22"/>
          <w:szCs w:val="22"/>
        </w:rPr>
        <w:t xml:space="preserve">The full configs/tc1.yaml is reproduced below for reference.</w:t>
      </w:r>
    </w:p>
    <w:p>
      <w:pPr>
        <w:shd w:fill="F2F2F2" w:color="auto" w:val="clear"/>
        <w:spacing w:after="0" w:line="240"/>
      </w:pPr>
      <w:r>
        <w:rPr>
          <w:rFonts w:ascii="Consolas" w:cs="Consolas" w:eastAsia="Consolas" w:hAnsi="Consolas"/>
          <w:sz w:val="18"/>
          <w:szCs w:val="18"/>
        </w:rPr>
        <w:t xml:space="preserve">study_name: safety_capability_tradeoff_4bit_slm</w:t>
      </w:r>
    </w:p>
    <w:p>
      <w:pPr>
        <w:shd w:fill="F2F2F2" w:color="auto" w:val="clear"/>
        <w:spacing w:after="0" w:line="240"/>
      </w:pPr>
      <w:r>
        <w:rPr>
          <w:rFonts w:ascii="Consolas" w:cs="Consolas" w:eastAsia="Consolas" w:hAnsi="Consolas"/>
          <w:sz w:val="18"/>
          <w:szCs w:val="18"/>
        </w:rPr>
        <w:t xml:space="preserve"> </w:t>
      </w:r>
    </w:p>
    <w:p>
      <w:pPr>
        <w:shd w:fill="F2F2F2" w:color="auto" w:val="clear"/>
        <w:spacing w:after="0" w:line="240"/>
      </w:pPr>
      <w:r>
        <w:rPr>
          <w:rFonts w:ascii="Consolas" w:cs="Consolas" w:eastAsia="Consolas" w:hAnsi="Consolas"/>
          <w:sz w:val="18"/>
          <w:szCs w:val="18"/>
        </w:rPr>
        <w:t xml:space="preserve">models:</w:t>
      </w:r>
    </w:p>
    <w:p>
      <w:pPr>
        <w:shd w:fill="F2F2F2" w:color="auto" w:val="clear"/>
        <w:spacing w:after="0" w:line="240"/>
      </w:pPr>
      <w:r>
        <w:rPr>
          <w:rFonts w:ascii="Consolas" w:cs="Consolas" w:eastAsia="Consolas" w:hAnsi="Consolas"/>
          <w:sz w:val="18"/>
          <w:szCs w:val="18"/>
        </w:rPr>
        <w:t xml:space="preserve">  qwen_2b_base:</w:t>
      </w:r>
    </w:p>
    <w:p>
      <w:pPr>
        <w:shd w:fill="F2F2F2" w:color="auto" w:val="clear"/>
        <w:spacing w:after="0" w:line="240"/>
      </w:pPr>
      <w:r>
        <w:rPr>
          <w:rFonts w:ascii="Consolas" w:cs="Consolas" w:eastAsia="Consolas" w:hAnsi="Consolas"/>
          <w:sz w:val="18"/>
          <w:szCs w:val="18"/>
        </w:rPr>
        <w:t xml:space="preserve">    family: qwen</w:t>
      </w:r>
    </w:p>
    <w:p>
      <w:pPr>
        <w:shd w:fill="F2F2F2" w:color="auto" w:val="clear"/>
        <w:spacing w:after="0" w:line="240"/>
      </w:pPr>
      <w:r>
        <w:rPr>
          <w:rFonts w:ascii="Consolas" w:cs="Consolas" w:eastAsia="Consolas" w:hAnsi="Consolas"/>
          <w:sz w:val="18"/>
          <w:szCs w:val="18"/>
        </w:rPr>
        <w:t xml:space="preserve">    size_b: 2.0</w:t>
      </w:r>
    </w:p>
    <w:p>
      <w:pPr>
        <w:shd w:fill="F2F2F2" w:color="auto" w:val="clear"/>
        <w:spacing w:after="0" w:line="240"/>
      </w:pPr>
      <w:r>
        <w:rPr>
          <w:rFonts w:ascii="Consolas" w:cs="Consolas" w:eastAsia="Consolas" w:hAnsi="Consolas"/>
          <w:sz w:val="18"/>
          <w:szCs w:val="18"/>
        </w:rPr>
        <w:t xml:space="preserve">    quantized: false</w:t>
      </w:r>
    </w:p>
    <w:p>
      <w:pPr>
        <w:shd w:fill="F2F2F2" w:color="auto" w:val="clear"/>
        <w:spacing w:after="0" w:line="240"/>
      </w:pPr>
      <w:r>
        <w:rPr>
          <w:rFonts w:ascii="Consolas" w:cs="Consolas" w:eastAsia="Consolas" w:hAnsi="Consolas"/>
          <w:sz w:val="18"/>
          <w:szCs w:val="18"/>
        </w:rPr>
        <w:t xml:space="preserve">    pair_id: qwen_2b</w:t>
      </w:r>
    </w:p>
    <w:p>
      <w:pPr>
        <w:shd w:fill="F2F2F2" w:color="auto" w:val="clear"/>
        <w:spacing w:after="0" w:line="240"/>
      </w:pPr>
      <w:r>
        <w:rPr>
          <w:rFonts w:ascii="Consolas" w:cs="Consolas" w:eastAsia="Consolas" w:hAnsi="Consolas"/>
          <w:sz w:val="18"/>
          <w:szCs w:val="18"/>
        </w:rPr>
        <w:t xml:space="preserve">    model_id: techwithsergiu/Qwen3.5-text-2B</w:t>
      </w:r>
    </w:p>
    <w:p>
      <w:pPr>
        <w:shd w:fill="F2F2F2" w:color="auto" w:val="clear"/>
        <w:spacing w:after="0" w:line="240"/>
      </w:pPr>
      <w:r>
        <w:rPr>
          <w:rFonts w:ascii="Consolas" w:cs="Consolas" w:eastAsia="Consolas" w:hAnsi="Consolas"/>
          <w:sz w:val="18"/>
          <w:szCs w:val="18"/>
        </w:rPr>
        <w:t xml:space="preserve">    trust_remote_code: false</w:t>
      </w:r>
    </w:p>
    <w:p>
      <w:pPr>
        <w:shd w:fill="F2F2F2" w:color="auto" w:val="clear"/>
        <w:spacing w:after="0" w:line="240"/>
      </w:pPr>
      <w:r>
        <w:rPr>
          <w:rFonts w:ascii="Consolas" w:cs="Consolas" w:eastAsia="Consolas" w:hAnsi="Consolas"/>
          <w:sz w:val="18"/>
          <w:szCs w:val="18"/>
        </w:rPr>
        <w:t xml:space="preserve">    dtype: auto</w:t>
      </w:r>
    </w:p>
    <w:p>
      <w:pPr>
        <w:shd w:fill="F2F2F2" w:color="auto" w:val="clear"/>
        <w:spacing w:after="0" w:line="240"/>
      </w:pPr>
      <w:r>
        <w:rPr>
          <w:rFonts w:ascii="Consolas" w:cs="Consolas" w:eastAsia="Consolas" w:hAnsi="Consolas"/>
          <w:sz w:val="18"/>
          <w:szCs w:val="18"/>
        </w:rPr>
        <w:t xml:space="preserve">    benchmarks: [harmbench, xstest, mmlu]</w:t>
      </w:r>
    </w:p>
    <w:p>
      <w:pPr>
        <w:shd w:fill="F2F2F2" w:color="auto" w:val="clear"/>
        <w:spacing w:after="0" w:line="240"/>
      </w:pPr>
      <w:r>
        <w:rPr>
          <w:rFonts w:ascii="Consolas" w:cs="Consolas" w:eastAsia="Consolas" w:hAnsi="Consolas"/>
          <w:sz w:val="18"/>
          <w:szCs w:val="18"/>
        </w:rPr>
        <w:t xml:space="preserve"> </w:t>
      </w:r>
    </w:p>
    <w:p>
      <w:pPr>
        <w:shd w:fill="F2F2F2" w:color="auto" w:val="clear"/>
        <w:spacing w:after="0" w:line="240"/>
      </w:pPr>
      <w:r>
        <w:rPr>
          <w:rFonts w:ascii="Consolas" w:cs="Consolas" w:eastAsia="Consolas" w:hAnsi="Consolas"/>
          <w:sz w:val="18"/>
          <w:szCs w:val="18"/>
        </w:rPr>
        <w:t xml:space="preserve">  qwen_2b_4bit:</w:t>
      </w:r>
    </w:p>
    <w:p>
      <w:pPr>
        <w:shd w:fill="F2F2F2" w:color="auto" w:val="clear"/>
        <w:spacing w:after="0" w:line="240"/>
      </w:pPr>
      <w:r>
        <w:rPr>
          <w:rFonts w:ascii="Consolas" w:cs="Consolas" w:eastAsia="Consolas" w:hAnsi="Consolas"/>
          <w:sz w:val="18"/>
          <w:szCs w:val="18"/>
        </w:rPr>
        <w:t xml:space="preserve">    family: qwen</w:t>
      </w:r>
    </w:p>
    <w:p>
      <w:pPr>
        <w:shd w:fill="F2F2F2" w:color="auto" w:val="clear"/>
        <w:spacing w:after="0" w:line="240"/>
      </w:pPr>
      <w:r>
        <w:rPr>
          <w:rFonts w:ascii="Consolas" w:cs="Consolas" w:eastAsia="Consolas" w:hAnsi="Consolas"/>
          <w:sz w:val="18"/>
          <w:szCs w:val="18"/>
        </w:rPr>
        <w:t xml:space="preserve">    size_b: 2.0</w:t>
      </w:r>
    </w:p>
    <w:p>
      <w:pPr>
        <w:shd w:fill="F2F2F2" w:color="auto" w:val="clear"/>
        <w:spacing w:after="0" w:line="240"/>
      </w:pPr>
      <w:r>
        <w:rPr>
          <w:rFonts w:ascii="Consolas" w:cs="Consolas" w:eastAsia="Consolas" w:hAnsi="Consolas"/>
          <w:sz w:val="18"/>
          <w:szCs w:val="18"/>
        </w:rPr>
        <w:t xml:space="preserve">    quantized: true</w:t>
      </w:r>
    </w:p>
    <w:p>
      <w:pPr>
        <w:shd w:fill="F2F2F2" w:color="auto" w:val="clear"/>
        <w:spacing w:after="0" w:line="240"/>
      </w:pPr>
      <w:r>
        <w:rPr>
          <w:rFonts w:ascii="Consolas" w:cs="Consolas" w:eastAsia="Consolas" w:hAnsi="Consolas"/>
          <w:sz w:val="18"/>
          <w:szCs w:val="18"/>
        </w:rPr>
        <w:t xml:space="preserve">    pair_id: qwen_2b</w:t>
      </w:r>
    </w:p>
    <w:p>
      <w:pPr>
        <w:shd w:fill="F2F2F2" w:color="auto" w:val="clear"/>
        <w:spacing w:after="0" w:line="240"/>
      </w:pPr>
      <w:r>
        <w:rPr>
          <w:rFonts w:ascii="Consolas" w:cs="Consolas" w:eastAsia="Consolas" w:hAnsi="Consolas"/>
          <w:sz w:val="18"/>
          <w:szCs w:val="18"/>
        </w:rPr>
        <w:t xml:space="preserve">    model_id: techwithsergiu/Qwen3.5-text-2B</w:t>
      </w:r>
    </w:p>
    <w:p>
      <w:pPr>
        <w:shd w:fill="F2F2F2" w:color="auto" w:val="clear"/>
        <w:spacing w:after="0" w:line="240"/>
      </w:pPr>
      <w:r>
        <w:rPr>
          <w:rFonts w:ascii="Consolas" w:cs="Consolas" w:eastAsia="Consolas" w:hAnsi="Consolas"/>
          <w:sz w:val="18"/>
          <w:szCs w:val="18"/>
        </w:rPr>
        <w:t xml:space="preserve">    trust_remote_code: false</w:t>
      </w:r>
    </w:p>
    <w:p>
      <w:pPr>
        <w:shd w:fill="F2F2F2" w:color="auto" w:val="clear"/>
        <w:spacing w:after="0" w:line="240"/>
      </w:pPr>
      <w:r>
        <w:rPr>
          <w:rFonts w:ascii="Consolas" w:cs="Consolas" w:eastAsia="Consolas" w:hAnsi="Consolas"/>
          <w:sz w:val="18"/>
          <w:szCs w:val="18"/>
        </w:rPr>
        <w:t xml:space="preserve">    dtype: auto</w:t>
      </w:r>
    </w:p>
    <w:p>
      <w:pPr>
        <w:shd w:fill="F2F2F2" w:color="auto" w:val="clear"/>
        <w:spacing w:after="0" w:line="240"/>
      </w:pPr>
      <w:r>
        <w:rPr>
          <w:rFonts w:ascii="Consolas" w:cs="Consolas" w:eastAsia="Consolas" w:hAnsi="Consolas"/>
          <w:sz w:val="18"/>
          <w:szCs w:val="18"/>
        </w:rPr>
        <w:t xml:space="preserve">    benchmarks: [harmbench, xstest, mmlu]</w:t>
      </w:r>
    </w:p>
    <w:p>
      <w:pPr>
        <w:shd w:fill="F2F2F2" w:color="auto" w:val="clear"/>
        <w:spacing w:after="0" w:line="240"/>
      </w:pPr>
      <w:r>
        <w:rPr>
          <w:rFonts w:ascii="Consolas" w:cs="Consolas" w:eastAsia="Consolas" w:hAnsi="Consolas"/>
          <w:sz w:val="18"/>
          <w:szCs w:val="18"/>
        </w:rPr>
        <w:t xml:space="preserve"> </w:t>
      </w:r>
    </w:p>
    <w:p>
      <w:pPr>
        <w:shd w:fill="F2F2F2" w:color="auto" w:val="clear"/>
        <w:spacing w:after="0" w:line="240"/>
      </w:pPr>
      <w:r>
        <w:rPr>
          <w:rFonts w:ascii="Consolas" w:cs="Consolas" w:eastAsia="Consolas" w:hAnsi="Consolas"/>
          <w:sz w:val="18"/>
          <w:szCs w:val="18"/>
        </w:rPr>
        <w:t xml:space="preserve">  qwen_4b_base:</w:t>
      </w:r>
    </w:p>
    <w:p>
      <w:pPr>
        <w:shd w:fill="F2F2F2" w:color="auto" w:val="clear"/>
        <w:spacing w:after="0" w:line="240"/>
      </w:pPr>
      <w:r>
        <w:rPr>
          <w:rFonts w:ascii="Consolas" w:cs="Consolas" w:eastAsia="Consolas" w:hAnsi="Consolas"/>
          <w:sz w:val="18"/>
          <w:szCs w:val="18"/>
        </w:rPr>
        <w:t xml:space="preserve">    family: qwen</w:t>
      </w:r>
    </w:p>
    <w:p>
      <w:pPr>
        <w:shd w:fill="F2F2F2" w:color="auto" w:val="clear"/>
        <w:spacing w:after="0" w:line="240"/>
      </w:pPr>
      <w:r>
        <w:rPr>
          <w:rFonts w:ascii="Consolas" w:cs="Consolas" w:eastAsia="Consolas" w:hAnsi="Consolas"/>
          <w:sz w:val="18"/>
          <w:szCs w:val="18"/>
        </w:rPr>
        <w:t xml:space="preserve">    size_b: 4.0</w:t>
      </w:r>
    </w:p>
    <w:p>
      <w:pPr>
        <w:shd w:fill="F2F2F2" w:color="auto" w:val="clear"/>
        <w:spacing w:after="0" w:line="240"/>
      </w:pPr>
      <w:r>
        <w:rPr>
          <w:rFonts w:ascii="Consolas" w:cs="Consolas" w:eastAsia="Consolas" w:hAnsi="Consolas"/>
          <w:sz w:val="18"/>
          <w:szCs w:val="18"/>
        </w:rPr>
        <w:t xml:space="preserve">    quantized: false</w:t>
      </w:r>
    </w:p>
    <w:p>
      <w:pPr>
        <w:shd w:fill="F2F2F2" w:color="auto" w:val="clear"/>
        <w:spacing w:after="0" w:line="240"/>
      </w:pPr>
      <w:r>
        <w:rPr>
          <w:rFonts w:ascii="Consolas" w:cs="Consolas" w:eastAsia="Consolas" w:hAnsi="Consolas"/>
          <w:sz w:val="18"/>
          <w:szCs w:val="18"/>
        </w:rPr>
        <w:t xml:space="preserve">    pair_id: qwen_4b</w:t>
      </w:r>
    </w:p>
    <w:p>
      <w:pPr>
        <w:shd w:fill="F2F2F2" w:color="auto" w:val="clear"/>
        <w:spacing w:after="0" w:line="240"/>
      </w:pPr>
      <w:r>
        <w:rPr>
          <w:rFonts w:ascii="Consolas" w:cs="Consolas" w:eastAsia="Consolas" w:hAnsi="Consolas"/>
          <w:sz w:val="18"/>
          <w:szCs w:val="18"/>
        </w:rPr>
        <w:t xml:space="preserve">    model_id: techwithsergiu/Qwen3.5-text-4B</w:t>
      </w:r>
    </w:p>
    <w:p>
      <w:pPr>
        <w:shd w:fill="F2F2F2" w:color="auto" w:val="clear"/>
        <w:spacing w:after="0" w:line="240"/>
      </w:pPr>
      <w:r>
        <w:rPr>
          <w:rFonts w:ascii="Consolas" w:cs="Consolas" w:eastAsia="Consolas" w:hAnsi="Consolas"/>
          <w:sz w:val="18"/>
          <w:szCs w:val="18"/>
        </w:rPr>
        <w:t xml:space="preserve">    trust_remote_code: false</w:t>
      </w:r>
    </w:p>
    <w:p>
      <w:pPr>
        <w:shd w:fill="F2F2F2" w:color="auto" w:val="clear"/>
        <w:spacing w:after="0" w:line="240"/>
      </w:pPr>
      <w:r>
        <w:rPr>
          <w:rFonts w:ascii="Consolas" w:cs="Consolas" w:eastAsia="Consolas" w:hAnsi="Consolas"/>
          <w:sz w:val="18"/>
          <w:szCs w:val="18"/>
        </w:rPr>
        <w:t xml:space="preserve">    dtype: auto</w:t>
      </w:r>
    </w:p>
    <w:p>
      <w:pPr>
        <w:shd w:fill="F2F2F2" w:color="auto" w:val="clear"/>
        <w:spacing w:after="0" w:line="240"/>
      </w:pPr>
      <w:r>
        <w:rPr>
          <w:rFonts w:ascii="Consolas" w:cs="Consolas" w:eastAsia="Consolas" w:hAnsi="Consolas"/>
          <w:sz w:val="18"/>
          <w:szCs w:val="18"/>
        </w:rPr>
        <w:t xml:space="preserve">    benchmarks: [harmbench, xstest, mmlu]</w:t>
      </w:r>
    </w:p>
    <w:p>
      <w:pPr>
        <w:shd w:fill="F2F2F2" w:color="auto" w:val="clear"/>
        <w:spacing w:after="0" w:line="240"/>
      </w:pPr>
      <w:r>
        <w:rPr>
          <w:rFonts w:ascii="Consolas" w:cs="Consolas" w:eastAsia="Consolas" w:hAnsi="Consolas"/>
          <w:sz w:val="18"/>
          <w:szCs w:val="18"/>
        </w:rPr>
        <w:t xml:space="preserve"> </w:t>
      </w:r>
    </w:p>
    <w:p>
      <w:pPr>
        <w:shd w:fill="F2F2F2" w:color="auto" w:val="clear"/>
        <w:spacing w:after="0" w:line="240"/>
      </w:pPr>
      <w:r>
        <w:rPr>
          <w:rFonts w:ascii="Consolas" w:cs="Consolas" w:eastAsia="Consolas" w:hAnsi="Consolas"/>
          <w:sz w:val="18"/>
          <w:szCs w:val="18"/>
        </w:rPr>
        <w:t xml:space="preserve">  qwen_4b_4bit:</w:t>
      </w:r>
    </w:p>
    <w:p>
      <w:pPr>
        <w:shd w:fill="F2F2F2" w:color="auto" w:val="clear"/>
        <w:spacing w:after="0" w:line="240"/>
      </w:pPr>
      <w:r>
        <w:rPr>
          <w:rFonts w:ascii="Consolas" w:cs="Consolas" w:eastAsia="Consolas" w:hAnsi="Consolas"/>
          <w:sz w:val="18"/>
          <w:szCs w:val="18"/>
        </w:rPr>
        <w:t xml:space="preserve">    family: qwen</w:t>
      </w:r>
    </w:p>
    <w:p>
      <w:pPr>
        <w:shd w:fill="F2F2F2" w:color="auto" w:val="clear"/>
        <w:spacing w:after="0" w:line="240"/>
      </w:pPr>
      <w:r>
        <w:rPr>
          <w:rFonts w:ascii="Consolas" w:cs="Consolas" w:eastAsia="Consolas" w:hAnsi="Consolas"/>
          <w:sz w:val="18"/>
          <w:szCs w:val="18"/>
        </w:rPr>
        <w:t xml:space="preserve">    size_b: 4.0</w:t>
      </w:r>
    </w:p>
    <w:p>
      <w:pPr>
        <w:shd w:fill="F2F2F2" w:color="auto" w:val="clear"/>
        <w:spacing w:after="0" w:line="240"/>
      </w:pPr>
      <w:r>
        <w:rPr>
          <w:rFonts w:ascii="Consolas" w:cs="Consolas" w:eastAsia="Consolas" w:hAnsi="Consolas"/>
          <w:sz w:val="18"/>
          <w:szCs w:val="18"/>
        </w:rPr>
        <w:t xml:space="preserve">    quantized: true</w:t>
      </w:r>
    </w:p>
    <w:p>
      <w:pPr>
        <w:shd w:fill="F2F2F2" w:color="auto" w:val="clear"/>
        <w:spacing w:after="0" w:line="240"/>
      </w:pPr>
      <w:r>
        <w:rPr>
          <w:rFonts w:ascii="Consolas" w:cs="Consolas" w:eastAsia="Consolas" w:hAnsi="Consolas"/>
          <w:sz w:val="18"/>
          <w:szCs w:val="18"/>
        </w:rPr>
        <w:t xml:space="preserve">    pair_id: qwen_4b</w:t>
      </w:r>
    </w:p>
    <w:p>
      <w:pPr>
        <w:shd w:fill="F2F2F2" w:color="auto" w:val="clear"/>
        <w:spacing w:after="0" w:line="240"/>
      </w:pPr>
      <w:r>
        <w:rPr>
          <w:rFonts w:ascii="Consolas" w:cs="Consolas" w:eastAsia="Consolas" w:hAnsi="Consolas"/>
          <w:sz w:val="18"/>
          <w:szCs w:val="18"/>
        </w:rPr>
        <w:t xml:space="preserve">    model_id: techwithsergiu/Qwen3.5-text-4B</w:t>
      </w:r>
    </w:p>
    <w:p>
      <w:pPr>
        <w:shd w:fill="F2F2F2" w:color="auto" w:val="clear"/>
        <w:spacing w:after="0" w:line="240"/>
      </w:pPr>
      <w:r>
        <w:rPr>
          <w:rFonts w:ascii="Consolas" w:cs="Consolas" w:eastAsia="Consolas" w:hAnsi="Consolas"/>
          <w:sz w:val="18"/>
          <w:szCs w:val="18"/>
        </w:rPr>
        <w:t xml:space="preserve">    trust_remote_code: false</w:t>
      </w:r>
    </w:p>
    <w:p>
      <w:pPr>
        <w:shd w:fill="F2F2F2" w:color="auto" w:val="clear"/>
        <w:spacing w:after="0" w:line="240"/>
      </w:pPr>
      <w:r>
        <w:rPr>
          <w:rFonts w:ascii="Consolas" w:cs="Consolas" w:eastAsia="Consolas" w:hAnsi="Consolas"/>
          <w:sz w:val="18"/>
          <w:szCs w:val="18"/>
        </w:rPr>
        <w:t xml:space="preserve">    dtype: auto</w:t>
      </w:r>
    </w:p>
    <w:p>
      <w:pPr>
        <w:shd w:fill="F2F2F2" w:color="auto" w:val="clear"/>
        <w:spacing w:after="0" w:line="240"/>
      </w:pPr>
      <w:r>
        <w:rPr>
          <w:rFonts w:ascii="Consolas" w:cs="Consolas" w:eastAsia="Consolas" w:hAnsi="Consolas"/>
          <w:sz w:val="18"/>
          <w:szCs w:val="18"/>
        </w:rPr>
        <w:t xml:space="preserve">    benchmarks: [harmbench, xstest, mmlu]</w:t>
      </w:r>
    </w:p>
    <w:p>
      <w:pPr>
        <w:shd w:fill="F2F2F2" w:color="auto" w:val="clear"/>
        <w:spacing w:after="0" w:line="240"/>
      </w:pPr>
      <w:r>
        <w:rPr>
          <w:rFonts w:ascii="Consolas" w:cs="Consolas" w:eastAsia="Consolas" w:hAnsi="Consolas"/>
          <w:sz w:val="18"/>
          <w:szCs w:val="18"/>
        </w:rPr>
        <w:t xml:space="preserve"> </w:t>
      </w:r>
    </w:p>
    <w:p>
      <w:pPr>
        <w:shd w:fill="F2F2F2" w:color="auto" w:val="clear"/>
        <w:spacing w:after="0" w:line="240"/>
      </w:pPr>
      <w:r>
        <w:rPr>
          <w:rFonts w:ascii="Consolas" w:cs="Consolas" w:eastAsia="Consolas" w:hAnsi="Consolas"/>
          <w:sz w:val="18"/>
          <w:szCs w:val="18"/>
        </w:rPr>
        <w:t xml:space="preserve">  llama_3_2_3b_base:</w:t>
      </w:r>
    </w:p>
    <w:p>
      <w:pPr>
        <w:shd w:fill="F2F2F2" w:color="auto" w:val="clear"/>
        <w:spacing w:after="0" w:line="240"/>
      </w:pPr>
      <w:r>
        <w:rPr>
          <w:rFonts w:ascii="Consolas" w:cs="Consolas" w:eastAsia="Consolas" w:hAnsi="Consolas"/>
          <w:sz w:val="18"/>
          <w:szCs w:val="18"/>
        </w:rPr>
        <w:t xml:space="preserve">    family: llama</w:t>
      </w:r>
    </w:p>
    <w:p>
      <w:pPr>
        <w:shd w:fill="F2F2F2" w:color="auto" w:val="clear"/>
        <w:spacing w:after="0" w:line="240"/>
      </w:pPr>
      <w:r>
        <w:rPr>
          <w:rFonts w:ascii="Consolas" w:cs="Consolas" w:eastAsia="Consolas" w:hAnsi="Consolas"/>
          <w:sz w:val="18"/>
          <w:szCs w:val="18"/>
        </w:rPr>
        <w:t xml:space="preserve">    size_b: 3.0</w:t>
      </w:r>
    </w:p>
    <w:p>
      <w:pPr>
        <w:shd w:fill="F2F2F2" w:color="auto" w:val="clear"/>
        <w:spacing w:after="0" w:line="240"/>
      </w:pPr>
      <w:r>
        <w:rPr>
          <w:rFonts w:ascii="Consolas" w:cs="Consolas" w:eastAsia="Consolas" w:hAnsi="Consolas"/>
          <w:sz w:val="18"/>
          <w:szCs w:val="18"/>
        </w:rPr>
        <w:t xml:space="preserve">    quantized: false</w:t>
      </w:r>
    </w:p>
    <w:p>
      <w:pPr>
        <w:shd w:fill="F2F2F2" w:color="auto" w:val="clear"/>
        <w:spacing w:after="0" w:line="240"/>
      </w:pPr>
      <w:r>
        <w:rPr>
          <w:rFonts w:ascii="Consolas" w:cs="Consolas" w:eastAsia="Consolas" w:hAnsi="Consolas"/>
          <w:sz w:val="18"/>
          <w:szCs w:val="18"/>
        </w:rPr>
        <w:t xml:space="preserve">    pair_id: llama_3_2_3b</w:t>
      </w:r>
    </w:p>
    <w:p>
      <w:pPr>
        <w:shd w:fill="F2F2F2" w:color="auto" w:val="clear"/>
        <w:spacing w:after="0" w:line="240"/>
      </w:pPr>
      <w:r>
        <w:rPr>
          <w:rFonts w:ascii="Consolas" w:cs="Consolas" w:eastAsia="Consolas" w:hAnsi="Consolas"/>
          <w:sz w:val="18"/>
          <w:szCs w:val="18"/>
        </w:rPr>
        <w:t xml:space="preserve">    model_id: meta-llama/Llama-3.2-3B-Instruct</w:t>
      </w:r>
    </w:p>
    <w:p>
      <w:pPr>
        <w:shd w:fill="F2F2F2" w:color="auto" w:val="clear"/>
        <w:spacing w:after="0" w:line="240"/>
      </w:pPr>
      <w:r>
        <w:rPr>
          <w:rFonts w:ascii="Consolas" w:cs="Consolas" w:eastAsia="Consolas" w:hAnsi="Consolas"/>
          <w:sz w:val="18"/>
          <w:szCs w:val="18"/>
        </w:rPr>
        <w:t xml:space="preserve">    trust_remote_code: false</w:t>
      </w:r>
    </w:p>
    <w:p>
      <w:pPr>
        <w:shd w:fill="F2F2F2" w:color="auto" w:val="clear"/>
        <w:spacing w:after="0" w:line="240"/>
      </w:pPr>
      <w:r>
        <w:rPr>
          <w:rFonts w:ascii="Consolas" w:cs="Consolas" w:eastAsia="Consolas" w:hAnsi="Consolas"/>
          <w:sz w:val="18"/>
          <w:szCs w:val="18"/>
        </w:rPr>
        <w:t xml:space="preserve">    dtype: auto</w:t>
      </w:r>
    </w:p>
    <w:p>
      <w:pPr>
        <w:shd w:fill="F2F2F2" w:color="auto" w:val="clear"/>
        <w:spacing w:after="0" w:line="240"/>
      </w:pPr>
      <w:r>
        <w:rPr>
          <w:rFonts w:ascii="Consolas" w:cs="Consolas" w:eastAsia="Consolas" w:hAnsi="Consolas"/>
          <w:sz w:val="18"/>
          <w:szCs w:val="18"/>
        </w:rPr>
        <w:t xml:space="preserve">    benchmarks: [harmbench, xstest, mmlu]</w:t>
      </w:r>
    </w:p>
    <w:p>
      <w:pPr>
        <w:shd w:fill="F2F2F2" w:color="auto" w:val="clear"/>
        <w:spacing w:after="0" w:line="240"/>
      </w:pPr>
      <w:r>
        <w:rPr>
          <w:rFonts w:ascii="Consolas" w:cs="Consolas" w:eastAsia="Consolas" w:hAnsi="Consolas"/>
          <w:sz w:val="18"/>
          <w:szCs w:val="18"/>
        </w:rPr>
        <w:t xml:space="preserve"> </w:t>
      </w:r>
    </w:p>
    <w:p>
      <w:pPr>
        <w:shd w:fill="F2F2F2" w:color="auto" w:val="clear"/>
        <w:spacing w:after="0" w:line="240"/>
      </w:pPr>
      <w:r>
        <w:rPr>
          <w:rFonts w:ascii="Consolas" w:cs="Consolas" w:eastAsia="Consolas" w:hAnsi="Consolas"/>
          <w:sz w:val="18"/>
          <w:szCs w:val="18"/>
        </w:rPr>
        <w:t xml:space="preserve">  llama_3_2_3b_4bit:</w:t>
      </w:r>
    </w:p>
    <w:p>
      <w:pPr>
        <w:shd w:fill="F2F2F2" w:color="auto" w:val="clear"/>
        <w:spacing w:after="0" w:line="240"/>
      </w:pPr>
      <w:r>
        <w:rPr>
          <w:rFonts w:ascii="Consolas" w:cs="Consolas" w:eastAsia="Consolas" w:hAnsi="Consolas"/>
          <w:sz w:val="18"/>
          <w:szCs w:val="18"/>
        </w:rPr>
        <w:t xml:space="preserve">    family: llama</w:t>
      </w:r>
    </w:p>
    <w:p>
      <w:pPr>
        <w:shd w:fill="F2F2F2" w:color="auto" w:val="clear"/>
        <w:spacing w:after="0" w:line="240"/>
      </w:pPr>
      <w:r>
        <w:rPr>
          <w:rFonts w:ascii="Consolas" w:cs="Consolas" w:eastAsia="Consolas" w:hAnsi="Consolas"/>
          <w:sz w:val="18"/>
          <w:szCs w:val="18"/>
        </w:rPr>
        <w:t xml:space="preserve">    size_b: 3.0</w:t>
      </w:r>
    </w:p>
    <w:p>
      <w:pPr>
        <w:shd w:fill="F2F2F2" w:color="auto" w:val="clear"/>
        <w:spacing w:after="0" w:line="240"/>
      </w:pPr>
      <w:r>
        <w:rPr>
          <w:rFonts w:ascii="Consolas" w:cs="Consolas" w:eastAsia="Consolas" w:hAnsi="Consolas"/>
          <w:sz w:val="18"/>
          <w:szCs w:val="18"/>
        </w:rPr>
        <w:t xml:space="preserve">    quantized: true</w:t>
      </w:r>
    </w:p>
    <w:p>
      <w:pPr>
        <w:shd w:fill="F2F2F2" w:color="auto" w:val="clear"/>
        <w:spacing w:after="0" w:line="240"/>
      </w:pPr>
      <w:r>
        <w:rPr>
          <w:rFonts w:ascii="Consolas" w:cs="Consolas" w:eastAsia="Consolas" w:hAnsi="Consolas"/>
          <w:sz w:val="18"/>
          <w:szCs w:val="18"/>
        </w:rPr>
        <w:t xml:space="preserve">    pair_id: llama_3_2_3b</w:t>
      </w:r>
    </w:p>
    <w:p>
      <w:pPr>
        <w:shd w:fill="F2F2F2" w:color="auto" w:val="clear"/>
        <w:spacing w:after="0" w:line="240"/>
      </w:pPr>
      <w:r>
        <w:rPr>
          <w:rFonts w:ascii="Consolas" w:cs="Consolas" w:eastAsia="Consolas" w:hAnsi="Consolas"/>
          <w:sz w:val="18"/>
          <w:szCs w:val="18"/>
        </w:rPr>
        <w:t xml:space="preserve">    model_id: meta-llama/Llama-3.2-3B-Instruct</w:t>
      </w:r>
    </w:p>
    <w:p>
      <w:pPr>
        <w:shd w:fill="F2F2F2" w:color="auto" w:val="clear"/>
        <w:spacing w:after="0" w:line="240"/>
      </w:pPr>
      <w:r>
        <w:rPr>
          <w:rFonts w:ascii="Consolas" w:cs="Consolas" w:eastAsia="Consolas" w:hAnsi="Consolas"/>
          <w:sz w:val="18"/>
          <w:szCs w:val="18"/>
        </w:rPr>
        <w:t xml:space="preserve">    trust_remote_code: false</w:t>
      </w:r>
    </w:p>
    <w:p>
      <w:pPr>
        <w:shd w:fill="F2F2F2" w:color="auto" w:val="clear"/>
        <w:spacing w:after="0" w:line="240"/>
      </w:pPr>
      <w:r>
        <w:rPr>
          <w:rFonts w:ascii="Consolas" w:cs="Consolas" w:eastAsia="Consolas" w:hAnsi="Consolas"/>
          <w:sz w:val="18"/>
          <w:szCs w:val="18"/>
        </w:rPr>
        <w:t xml:space="preserve">    dtype: auto</w:t>
      </w:r>
    </w:p>
    <w:p>
      <w:pPr>
        <w:shd w:fill="F2F2F2" w:color="auto" w:val="clear"/>
        <w:spacing w:after="0" w:line="240"/>
      </w:pPr>
      <w:r>
        <w:rPr>
          <w:rFonts w:ascii="Consolas" w:cs="Consolas" w:eastAsia="Consolas" w:hAnsi="Consolas"/>
          <w:sz w:val="18"/>
          <w:szCs w:val="18"/>
        </w:rPr>
        <w:t xml:space="preserve">    benchmarks: [harmbench, xstest, mmlu]</w:t>
      </w:r>
    </w:p>
    <w:p>
      <w:pPr>
        <w:shd w:fill="F2F2F2" w:color="auto" w:val="clear"/>
        <w:spacing w:after="0" w:line="240"/>
      </w:pPr>
      <w:r>
        <w:rPr>
          <w:rFonts w:ascii="Consolas" w:cs="Consolas" w:eastAsia="Consolas" w:hAnsi="Consolas"/>
          <w:sz w:val="18"/>
          <w:szCs w:val="18"/>
        </w:rPr>
        <w:t xml:space="preserve"> </w:t>
      </w:r>
    </w:p>
    <w:p>
      <w:pPr>
        <w:shd w:fill="F2F2F2" w:color="auto" w:val="clear"/>
        <w:spacing w:after="0" w:line="240"/>
      </w:pPr>
      <w:r>
        <w:rPr>
          <w:rFonts w:ascii="Consolas" w:cs="Consolas" w:eastAsia="Consolas" w:hAnsi="Consolas"/>
          <w:sz w:val="18"/>
          <w:szCs w:val="18"/>
        </w:rPr>
        <w:t xml:space="preserve">decoding:</w:t>
      </w:r>
    </w:p>
    <w:p>
      <w:pPr>
        <w:shd w:fill="F2F2F2" w:color="auto" w:val="clear"/>
        <w:spacing w:after="0" w:line="240"/>
      </w:pPr>
      <w:r>
        <w:rPr>
          <w:rFonts w:ascii="Consolas" w:cs="Consolas" w:eastAsia="Consolas" w:hAnsi="Consolas"/>
          <w:sz w:val="18"/>
          <w:szCs w:val="18"/>
        </w:rPr>
        <w:t xml:space="preserve">  max_new_tokens: 128</w:t>
      </w:r>
    </w:p>
    <w:p>
      <w:pPr>
        <w:shd w:fill="F2F2F2" w:color="auto" w:val="clear"/>
        <w:spacing w:after="0" w:line="240"/>
      </w:pPr>
      <w:r>
        <w:rPr>
          <w:rFonts w:ascii="Consolas" w:cs="Consolas" w:eastAsia="Consolas" w:hAnsi="Consolas"/>
          <w:sz w:val="18"/>
          <w:szCs w:val="18"/>
        </w:rPr>
        <w:t xml:space="preserve">  temperature: 0.0</w:t>
      </w:r>
    </w:p>
    <w:p>
      <w:pPr>
        <w:shd w:fill="F2F2F2" w:color="auto" w:val="clear"/>
        <w:spacing w:after="0" w:line="240"/>
      </w:pPr>
      <w:r>
        <w:rPr>
          <w:rFonts w:ascii="Consolas" w:cs="Consolas" w:eastAsia="Consolas" w:hAnsi="Consolas"/>
          <w:sz w:val="18"/>
          <w:szCs w:val="18"/>
        </w:rPr>
        <w:t xml:space="preserve">  top_p: 1.0</w:t>
      </w:r>
    </w:p>
    <w:p>
      <w:pPr>
        <w:shd w:fill="F2F2F2" w:color="auto" w:val="clear"/>
        <w:spacing w:after="0" w:line="240"/>
      </w:pPr>
      <w:r>
        <w:rPr>
          <w:rFonts w:ascii="Consolas" w:cs="Consolas" w:eastAsia="Consolas" w:hAnsi="Consolas"/>
          <w:sz w:val="18"/>
          <w:szCs w:val="18"/>
        </w:rPr>
        <w:t xml:space="preserve">  repetition_penalty: 1.0</w:t>
      </w:r>
    </w:p>
    <w:p>
      <w:pPr>
        <w:shd w:fill="F2F2F2" w:color="auto" w:val="clear"/>
        <w:spacing w:after="0" w:line="240"/>
      </w:pPr>
      <w:r>
        <w:rPr>
          <w:rFonts w:ascii="Consolas" w:cs="Consolas" w:eastAsia="Consolas" w:hAnsi="Consolas"/>
          <w:sz w:val="18"/>
          <w:szCs w:val="18"/>
        </w:rPr>
        <w:t xml:space="preserve">  max_input_tokens: 1024</w:t>
      </w:r>
    </w:p>
    <w:p>
      <w:pPr>
        <w:shd w:fill="F2F2F2" w:color="auto" w:val="clear"/>
        <w:spacing w:after="0" w:line="240"/>
      </w:pPr>
      <w:r>
        <w:rPr>
          <w:rFonts w:ascii="Consolas" w:cs="Consolas" w:eastAsia="Consolas" w:hAnsi="Consolas"/>
          <w:sz w:val="18"/>
          <w:szCs w:val="18"/>
        </w:rPr>
        <w:t xml:space="preserve">  use_chat_template: true</w:t>
      </w:r>
    </w:p>
    <w:p>
      <w:pPr>
        <w:shd w:fill="F2F2F2" w:color="auto" w:val="clear"/>
        <w:spacing w:after="0" w:line="240"/>
      </w:pPr>
      <w:r>
        <w:rPr>
          <w:rFonts w:ascii="Consolas" w:cs="Consolas" w:eastAsia="Consolas" w:hAnsi="Consolas"/>
          <w:sz w:val="18"/>
          <w:szCs w:val="18"/>
        </w:rPr>
        <w:t xml:space="preserve"> </w:t>
      </w:r>
    </w:p>
    <w:p>
      <w:pPr>
        <w:shd w:fill="F2F2F2" w:color="auto" w:val="clear"/>
        <w:spacing w:after="0" w:line="240"/>
      </w:pPr>
      <w:r>
        <w:rPr>
          <w:rFonts w:ascii="Consolas" w:cs="Consolas" w:eastAsia="Consolas" w:hAnsi="Consolas"/>
          <w:sz w:val="18"/>
          <w:szCs w:val="18"/>
        </w:rPr>
        <w:t xml:space="preserve">benchmarks:</w:t>
      </w:r>
    </w:p>
    <w:p>
      <w:pPr>
        <w:shd w:fill="F2F2F2" w:color="auto" w:val="clear"/>
        <w:spacing w:after="0" w:line="240"/>
      </w:pPr>
      <w:r>
        <w:rPr>
          <w:rFonts w:ascii="Consolas" w:cs="Consolas" w:eastAsia="Consolas" w:hAnsi="Consolas"/>
          <w:sz w:val="18"/>
          <w:szCs w:val="18"/>
        </w:rPr>
        <w:t xml:space="preserve">  harmbench:</w:t>
      </w:r>
    </w:p>
    <w:p>
      <w:pPr>
        <w:shd w:fill="F2F2F2" w:color="auto" w:val="clear"/>
        <w:spacing w:after="0" w:line="240"/>
      </w:pPr>
      <w:r>
        <w:rPr>
          <w:rFonts w:ascii="Consolas" w:cs="Consolas" w:eastAsia="Consolas" w:hAnsi="Consolas"/>
          <w:sz w:val="18"/>
          <w:szCs w:val="18"/>
        </w:rPr>
        <w:t xml:space="preserve">    dataset_name: walledai/HarmBench</w:t>
      </w:r>
    </w:p>
    <w:p>
      <w:pPr>
        <w:shd w:fill="F2F2F2" w:color="auto" w:val="clear"/>
        <w:spacing w:after="0" w:line="240"/>
      </w:pPr>
      <w:r>
        <w:rPr>
          <w:rFonts w:ascii="Consolas" w:cs="Consolas" w:eastAsia="Consolas" w:hAnsi="Consolas"/>
          <w:sz w:val="18"/>
          <w:szCs w:val="18"/>
        </w:rPr>
        <w:t xml:space="preserve">    split: train</w:t>
      </w:r>
    </w:p>
    <w:p>
      <w:pPr>
        <w:shd w:fill="F2F2F2" w:color="auto" w:val="clear"/>
        <w:spacing w:after="0" w:line="240"/>
      </w:pPr>
      <w:r>
        <w:rPr>
          <w:rFonts w:ascii="Consolas" w:cs="Consolas" w:eastAsia="Consolas" w:hAnsi="Consolas"/>
          <w:sz w:val="18"/>
          <w:szCs w:val="18"/>
        </w:rPr>
        <w:t xml:space="preserve">    max_samples: 400</w:t>
      </w:r>
    </w:p>
    <w:p>
      <w:pPr>
        <w:shd w:fill="F2F2F2" w:color="auto" w:val="clear"/>
        <w:spacing w:after="0" w:line="240"/>
      </w:pPr>
      <w:r>
        <w:rPr>
          <w:rFonts w:ascii="Consolas" w:cs="Consolas" w:eastAsia="Consolas" w:hAnsi="Consolas"/>
          <w:sz w:val="18"/>
          <w:szCs w:val="18"/>
        </w:rPr>
        <w:t xml:space="preserve">    batch_size: 4</w:t>
      </w:r>
    </w:p>
    <w:p>
      <w:pPr>
        <w:shd w:fill="F2F2F2" w:color="auto" w:val="clear"/>
        <w:spacing w:after="0" w:line="240"/>
      </w:pPr>
      <w:r>
        <w:rPr>
          <w:rFonts w:ascii="Consolas" w:cs="Consolas" w:eastAsia="Consolas" w:hAnsi="Consolas"/>
          <w:sz w:val="18"/>
          <w:szCs w:val="18"/>
        </w:rPr>
        <w:t xml:space="preserve"> </w:t>
      </w:r>
    </w:p>
    <w:p>
      <w:pPr>
        <w:shd w:fill="F2F2F2" w:color="auto" w:val="clear"/>
        <w:spacing w:after="0" w:line="240"/>
      </w:pPr>
      <w:r>
        <w:rPr>
          <w:rFonts w:ascii="Consolas" w:cs="Consolas" w:eastAsia="Consolas" w:hAnsi="Consolas"/>
          <w:sz w:val="18"/>
          <w:szCs w:val="18"/>
        </w:rPr>
        <w:t xml:space="preserve">  xstest:</w:t>
      </w:r>
    </w:p>
    <w:p>
      <w:pPr>
        <w:shd w:fill="F2F2F2" w:color="auto" w:val="clear"/>
        <w:spacing w:after="0" w:line="240"/>
      </w:pPr>
      <w:r>
        <w:rPr>
          <w:rFonts w:ascii="Consolas" w:cs="Consolas" w:eastAsia="Consolas" w:hAnsi="Consolas"/>
          <w:sz w:val="18"/>
          <w:szCs w:val="18"/>
        </w:rPr>
        <w:t xml:space="preserve">    dataset_name: allenai/xstest-response</w:t>
      </w:r>
    </w:p>
    <w:p>
      <w:pPr>
        <w:shd w:fill="F2F2F2" w:color="auto" w:val="clear"/>
        <w:spacing w:after="0" w:line="240"/>
      </w:pPr>
      <w:r>
        <w:rPr>
          <w:rFonts w:ascii="Consolas" w:cs="Consolas" w:eastAsia="Consolas" w:hAnsi="Consolas"/>
          <w:sz w:val="18"/>
          <w:szCs w:val="18"/>
        </w:rPr>
        <w:t xml:space="preserve">    split: test</w:t>
      </w:r>
    </w:p>
    <w:p>
      <w:pPr>
        <w:shd w:fill="F2F2F2" w:color="auto" w:val="clear"/>
        <w:spacing w:after="0" w:line="240"/>
      </w:pPr>
      <w:r>
        <w:rPr>
          <w:rFonts w:ascii="Consolas" w:cs="Consolas" w:eastAsia="Consolas" w:hAnsi="Consolas"/>
          <w:sz w:val="18"/>
          <w:szCs w:val="18"/>
        </w:rPr>
        <w:t xml:space="preserve">    max_samples: 400</w:t>
      </w:r>
    </w:p>
    <w:p>
      <w:pPr>
        <w:shd w:fill="F2F2F2" w:color="auto" w:val="clear"/>
        <w:spacing w:after="0" w:line="240"/>
      </w:pPr>
      <w:r>
        <w:rPr>
          <w:rFonts w:ascii="Consolas" w:cs="Consolas" w:eastAsia="Consolas" w:hAnsi="Consolas"/>
          <w:sz w:val="18"/>
          <w:szCs w:val="18"/>
        </w:rPr>
        <w:t xml:space="preserve">    batch_size: 4</w:t>
      </w:r>
    </w:p>
    <w:p>
      <w:pPr>
        <w:shd w:fill="F2F2F2" w:color="auto" w:val="clear"/>
        <w:spacing w:after="0" w:line="240"/>
      </w:pPr>
      <w:r>
        <w:rPr>
          <w:rFonts w:ascii="Consolas" w:cs="Consolas" w:eastAsia="Consolas" w:hAnsi="Consolas"/>
          <w:sz w:val="18"/>
          <w:szCs w:val="18"/>
        </w:rPr>
        <w:t xml:space="preserve">    benign_only: true</w:t>
      </w:r>
    </w:p>
    <w:p>
      <w:pPr>
        <w:shd w:fill="F2F2F2" w:color="auto" w:val="clear"/>
        <w:spacing w:after="0" w:line="240"/>
      </w:pPr>
      <w:r>
        <w:rPr>
          <w:rFonts w:ascii="Consolas" w:cs="Consolas" w:eastAsia="Consolas" w:hAnsi="Consolas"/>
          <w:sz w:val="18"/>
          <w:szCs w:val="18"/>
        </w:rPr>
        <w:t xml:space="preserve"> </w:t>
      </w:r>
    </w:p>
    <w:p>
      <w:pPr>
        <w:shd w:fill="F2F2F2" w:color="auto" w:val="clear"/>
        <w:spacing w:after="0" w:line="240"/>
      </w:pPr>
      <w:r>
        <w:rPr>
          <w:rFonts w:ascii="Consolas" w:cs="Consolas" w:eastAsia="Consolas" w:hAnsi="Consolas"/>
          <w:sz w:val="18"/>
          <w:szCs w:val="18"/>
        </w:rPr>
        <w:t xml:space="preserve">  mmlu:</w:t>
      </w:r>
    </w:p>
    <w:p>
      <w:pPr>
        <w:shd w:fill="F2F2F2" w:color="auto" w:val="clear"/>
        <w:spacing w:after="0" w:line="240"/>
      </w:pPr>
      <w:r>
        <w:rPr>
          <w:rFonts w:ascii="Consolas" w:cs="Consolas" w:eastAsia="Consolas" w:hAnsi="Consolas"/>
          <w:sz w:val="18"/>
          <w:szCs w:val="18"/>
        </w:rPr>
        <w:t xml:space="preserve">    dataset_name: cais/mmlu</w:t>
      </w:r>
    </w:p>
    <w:p>
      <w:pPr>
        <w:shd w:fill="F2F2F2" w:color="auto" w:val="clear"/>
        <w:spacing w:after="0" w:line="240"/>
      </w:pPr>
      <w:r>
        <w:rPr>
          <w:rFonts w:ascii="Consolas" w:cs="Consolas" w:eastAsia="Consolas" w:hAnsi="Consolas"/>
          <w:sz w:val="18"/>
          <w:szCs w:val="18"/>
        </w:rPr>
        <w:t xml:space="preserve">    split: test</w:t>
      </w:r>
    </w:p>
    <w:p>
      <w:pPr>
        <w:shd w:fill="F2F2F2" w:color="auto" w:val="clear"/>
        <w:spacing w:after="0" w:line="240"/>
      </w:pPr>
      <w:r>
        <w:rPr>
          <w:rFonts w:ascii="Consolas" w:cs="Consolas" w:eastAsia="Consolas" w:hAnsi="Consolas"/>
          <w:sz w:val="18"/>
          <w:szCs w:val="18"/>
        </w:rPr>
        <w:t xml:space="preserve">    max_samples: 300</w:t>
      </w:r>
    </w:p>
    <w:p>
      <w:pPr>
        <w:shd w:fill="F2F2F2" w:color="auto" w:val="clear"/>
        <w:spacing w:after="0" w:line="240"/>
      </w:pPr>
      <w:r>
        <w:rPr>
          <w:rFonts w:ascii="Consolas" w:cs="Consolas" w:eastAsia="Consolas" w:hAnsi="Consolas"/>
          <w:sz w:val="18"/>
          <w:szCs w:val="18"/>
        </w:rPr>
        <w:t xml:space="preserve">    batch_size: 4</w:t>
      </w:r>
    </w:p>
    <w:p>
      <w:pPr>
        <w:shd w:fill="F2F2F2" w:color="auto" w:val="clear"/>
        <w:spacing w:after="0" w:line="240"/>
      </w:pPr>
      <w:r>
        <w:rPr>
          <w:rFonts w:ascii="Consolas" w:cs="Consolas" w:eastAsia="Consolas" w:hAnsi="Consolas"/>
          <w:sz w:val="18"/>
          <w:szCs w:val="18"/>
        </w:rPr>
        <w:t xml:space="preserve">    subjects:</w:t>
      </w:r>
    </w:p>
    <w:p>
      <w:pPr>
        <w:shd w:fill="F2F2F2" w:color="auto" w:val="clear"/>
        <w:spacing w:after="0" w:line="240"/>
      </w:pPr>
      <w:r>
        <w:rPr>
          <w:rFonts w:ascii="Consolas" w:cs="Consolas" w:eastAsia="Consolas" w:hAnsi="Consolas"/>
          <w:sz w:val="18"/>
          <w:szCs w:val="18"/>
        </w:rPr>
        <w:t xml:space="preserve">      - business_ethics</w:t>
      </w:r>
    </w:p>
    <w:p>
      <w:pPr>
        <w:shd w:fill="F2F2F2" w:color="auto" w:val="clear"/>
        <w:spacing w:after="0" w:line="240"/>
      </w:pPr>
      <w:r>
        <w:rPr>
          <w:rFonts w:ascii="Consolas" w:cs="Consolas" w:eastAsia="Consolas" w:hAnsi="Consolas"/>
          <w:sz w:val="18"/>
          <w:szCs w:val="18"/>
        </w:rPr>
        <w:t xml:space="preserve">      - clinical_knowledge</w:t>
      </w:r>
    </w:p>
    <w:p>
      <w:pPr>
        <w:shd w:fill="F2F2F2" w:color="auto" w:val="clear"/>
        <w:spacing w:after="0" w:line="240"/>
      </w:pPr>
      <w:r>
        <w:rPr>
          <w:rFonts w:ascii="Consolas" w:cs="Consolas" w:eastAsia="Consolas" w:hAnsi="Consolas"/>
          <w:sz w:val="18"/>
          <w:szCs w:val="18"/>
        </w:rPr>
        <w:t xml:space="preserve">      - college_biology</w:t>
      </w:r>
    </w:p>
    <w:p>
      <w:pPr>
        <w:shd w:fill="F2F2F2" w:color="auto" w:val="clear"/>
        <w:spacing w:after="0" w:line="240"/>
      </w:pPr>
      <w:r>
        <w:rPr>
          <w:rFonts w:ascii="Consolas" w:cs="Consolas" w:eastAsia="Consolas" w:hAnsi="Consolas"/>
          <w:sz w:val="18"/>
          <w:szCs w:val="18"/>
        </w:rPr>
        <w:t xml:space="preserve">      - high_school_world_history</w:t>
      </w:r>
    </w:p>
    <w:p>
      <w:pPr>
        <w:shd w:fill="F2F2F2" w:color="auto" w:val="clear"/>
        <w:spacing w:after="0" w:line="240"/>
      </w:pPr>
      <w:r>
        <w:rPr>
          <w:rFonts w:ascii="Consolas" w:cs="Consolas" w:eastAsia="Consolas" w:hAnsi="Consolas"/>
          <w:sz w:val="18"/>
          <w:szCs w:val="18"/>
        </w:rPr>
        <w:t xml:space="preserve">      - high_school_macroeconomics</w:t>
      </w:r>
    </w:p>
    <w:p>
      <w:pPr>
        <w:shd w:fill="F2F2F2" w:color="auto" w:val="clear"/>
        <w:spacing w:after="0" w:line="240"/>
      </w:pPr>
      <w:r>
        <w:rPr>
          <w:rFonts w:ascii="Consolas" w:cs="Consolas" w:eastAsia="Consolas" w:hAnsi="Consolas"/>
          <w:sz w:val="18"/>
          <w:szCs w:val="18"/>
        </w:rPr>
        <w:t xml:space="preserve">      - human_aging</w:t>
      </w:r>
    </w:p>
    <w:p>
      <w:pPr>
        <w:shd w:fill="F2F2F2" w:color="auto" w:val="clear"/>
        <w:spacing w:after="0" w:line="240"/>
      </w:pPr>
      <w:r>
        <w:rPr>
          <w:rFonts w:ascii="Consolas" w:cs="Consolas" w:eastAsia="Consolas" w:hAnsi="Consolas"/>
          <w:sz w:val="18"/>
          <w:szCs w:val="18"/>
        </w:rPr>
        <w:t xml:space="preserve"> </w:t>
      </w:r>
    </w:p>
    <w:p>
      <w:pPr>
        <w:shd w:fill="F2F2F2" w:color="auto" w:val="clear"/>
        <w:spacing w:after="0" w:line="240"/>
      </w:pPr>
      <w:r>
        <w:rPr>
          <w:rFonts w:ascii="Consolas" w:cs="Consolas" w:eastAsia="Consolas" w:hAnsi="Consolas"/>
          <w:sz w:val="18"/>
          <w:szCs w:val="18"/>
        </w:rPr>
        <w:t xml:space="preserve">slurm:</w:t>
      </w:r>
    </w:p>
    <w:p>
      <w:pPr>
        <w:shd w:fill="F2F2F2" w:color="auto" w:val="clear"/>
        <w:spacing w:after="0" w:line="240"/>
      </w:pPr>
      <w:r>
        <w:rPr>
          <w:rFonts w:ascii="Consolas" w:cs="Consolas" w:eastAsia="Consolas" w:hAnsi="Consolas"/>
          <w:sz w:val="18"/>
          <w:szCs w:val="18"/>
        </w:rPr>
        <w:t xml:space="preserve">  partition: UGGPU-TC1</w:t>
      </w:r>
    </w:p>
    <w:p>
      <w:pPr>
        <w:shd w:fill="F2F2F2" w:color="auto" w:val="clear"/>
        <w:spacing w:after="0" w:line="240"/>
      </w:pPr>
      <w:r>
        <w:rPr>
          <w:rFonts w:ascii="Consolas" w:cs="Consolas" w:eastAsia="Consolas" w:hAnsi="Consolas"/>
          <w:sz w:val="18"/>
          <w:szCs w:val="18"/>
        </w:rPr>
        <w:t xml:space="preserve">  qos: normal</w:t>
      </w:r>
    </w:p>
    <w:p>
      <w:pPr>
        <w:shd w:fill="F2F2F2" w:color="auto" w:val="clear"/>
        <w:spacing w:after="0" w:line="240"/>
      </w:pPr>
      <w:r>
        <w:rPr>
          <w:rFonts w:ascii="Consolas" w:cs="Consolas" w:eastAsia="Consolas" w:hAnsi="Consolas"/>
          <w:sz w:val="18"/>
          <w:szCs w:val="18"/>
        </w:rPr>
        <w:t xml:space="preserve">  account:</w:t>
      </w:r>
    </w:p>
    <w:p>
      <w:pPr>
        <w:shd w:fill="F2F2F2" w:color="auto" w:val="clear"/>
        <w:spacing w:after="0" w:line="240"/>
      </w:pPr>
      <w:r>
        <w:rPr>
          <w:rFonts w:ascii="Consolas" w:cs="Consolas" w:eastAsia="Consolas" w:hAnsi="Consolas"/>
          <w:sz w:val="18"/>
          <w:szCs w:val="18"/>
        </w:rPr>
        <w:t xml:space="preserve">  gpus: 1</w:t>
      </w:r>
    </w:p>
    <w:p>
      <w:pPr>
        <w:shd w:fill="F2F2F2" w:color="auto" w:val="clear"/>
        <w:spacing w:after="0" w:line="240"/>
      </w:pPr>
      <w:r>
        <w:rPr>
          <w:rFonts w:ascii="Consolas" w:cs="Consolas" w:eastAsia="Consolas" w:hAnsi="Consolas"/>
          <w:sz w:val="18"/>
          <w:szCs w:val="18"/>
        </w:rPr>
        <w:t xml:space="preserve">  cpus_per_task: 1</w:t>
      </w:r>
    </w:p>
    <w:p>
      <w:pPr>
        <w:shd w:fill="F2F2F2" w:color="auto" w:val="clear"/>
        <w:spacing w:after="0" w:line="240"/>
      </w:pPr>
      <w:r>
        <w:rPr>
          <w:rFonts w:ascii="Consolas" w:cs="Consolas" w:eastAsia="Consolas" w:hAnsi="Consolas"/>
          <w:sz w:val="18"/>
          <w:szCs w:val="18"/>
        </w:rPr>
        <w:t xml:space="preserve">  mem: 10G</w:t>
      </w:r>
    </w:p>
    <w:p>
      <w:pPr>
        <w:shd w:fill="F2F2F2" w:color="auto" w:val="clear"/>
        <w:spacing w:after="0" w:line="240"/>
      </w:pPr>
      <w:r>
        <w:rPr>
          <w:rFonts w:ascii="Consolas" w:cs="Consolas" w:eastAsia="Consolas" w:hAnsi="Consolas"/>
          <w:sz w:val="18"/>
          <w:szCs w:val="18"/>
        </w:rPr>
        <w:t xml:space="preserve">  time: "06:00:00"</w:t>
      </w:r>
    </w:p>
    <w:p>
      <w:pPr>
        <w:shd w:fill="F2F2F2" w:color="auto" w:val="clear"/>
        <w:spacing w:after="0" w:line="240"/>
      </w:pPr>
      <w:r>
        <w:rPr>
          <w:rFonts w:ascii="Consolas" w:cs="Consolas" w:eastAsia="Consolas" w:hAnsi="Consolas"/>
          <w:sz w:val="18"/>
          <w:szCs w:val="18"/>
        </w:rPr>
        <w:t xml:space="preserve">  log_dir: results/slurm_logs_tc1</w:t>
      </w:r>
    </w:p>
    <w:p>
      <w:pPr>
        <w:shd w:fill="F2F2F2" w:color="auto" w:val="clear"/>
        <w:spacing w:after="0" w:line="240"/>
      </w:pPr>
      <w:r>
        <w:rPr>
          <w:rFonts w:ascii="Consolas" w:cs="Consolas" w:eastAsia="Consolas" w:hAnsi="Consolas"/>
          <w:sz w:val="18"/>
          <w:szCs w:val="18"/>
        </w:rPr>
        <w:t xml:space="preserve">  work_dir: /tc1home/FYP/utan001/fyp_quant/repo</w:t>
      </w:r>
    </w:p>
    <w:p>
      <w:pPr>
        <w:shd w:fill="F2F2F2" w:color="auto" w:val="clear"/>
        <w:spacing w:after="0" w:line="240"/>
      </w:pPr>
      <w:r>
        <w:rPr>
          <w:rFonts w:ascii="Consolas" w:cs="Consolas" w:eastAsia="Consolas" w:hAnsi="Consolas"/>
          <w:sz w:val="18"/>
          <w:szCs w:val="18"/>
        </w:rPr>
        <w:t xml:space="preserve">  setup_commands:</w:t>
      </w:r>
    </w:p>
    <w:p>
      <w:pPr>
        <w:shd w:fill="F2F2F2" w:color="auto" w:val="clear"/>
        <w:spacing w:after="0" w:line="240"/>
      </w:pPr>
      <w:r>
        <w:rPr>
          <w:rFonts w:ascii="Consolas" w:cs="Consolas" w:eastAsia="Consolas" w:hAnsi="Consolas"/>
          <w:sz w:val="18"/>
          <w:szCs w:val="18"/>
        </w:rPr>
        <w:t xml:space="preserve">    - module load slurm</w:t>
      </w:r>
    </w:p>
    <w:p>
      <w:pPr>
        <w:shd w:fill="F2F2F2" w:color="auto" w:val="clear"/>
        <w:spacing w:after="0" w:line="240"/>
      </w:pPr>
      <w:r>
        <w:rPr>
          <w:rFonts w:ascii="Consolas" w:cs="Consolas" w:eastAsia="Consolas" w:hAnsi="Consolas"/>
          <w:sz w:val="18"/>
          <w:szCs w:val="18"/>
        </w:rPr>
        <w:t xml:space="preserve">    - module load anaconda</w:t>
      </w:r>
    </w:p>
    <w:p>
      <w:pPr>
        <w:shd w:fill="F2F2F2" w:color="auto" w:val="clear"/>
        <w:spacing w:after="0" w:line="240"/>
      </w:pPr>
      <w:r>
        <w:rPr>
          <w:rFonts w:ascii="Consolas" w:cs="Consolas" w:eastAsia="Consolas" w:hAnsi="Consolas"/>
          <w:sz w:val="18"/>
          <w:szCs w:val="18"/>
        </w:rPr>
        <w:t xml:space="preserve">    - source activate fyp-tc1</w:t>
      </w:r>
    </w:p>
    <w:p>
      <w:pPr>
        <w:pStyle w:val="Heading1"/>
        <w:pageBreakBefore/>
        <w:spacing w:after="200" w:before="360"/>
      </w:pPr>
      <w:r>
        <w:rPr>
          <w:rFonts w:ascii="Calibri" w:cs="Calibri" w:eastAsia="Calibri" w:hAnsi="Calibri"/>
          <w:b/>
          <w:bCs/>
          <w:sz w:val="32"/>
          <w:szCs w:val="32"/>
        </w:rPr>
        <w:t xml:space="preserve">Appendix B — Example Generated SLURM Script</w:t>
      </w:r>
    </w:p>
    <w:p>
      <w:pPr>
        <w:spacing w:after="160" w:line="300"/>
        <w:jc w:val="both"/>
      </w:pPr>
      <w:r>
        <w:rPr>
          <w:rFonts w:ascii="Calibri" w:cs="Calibri" w:eastAsia="Calibri" w:hAnsi="Calibri"/>
          <w:sz w:val="22"/>
          <w:szCs w:val="22"/>
        </w:rPr>
        <w:t xml:space="preserve">The following is the generated sbatch script for qwen_2b_4bit, one of the six per-model jobs emitted by the cluster-generate command. The remaining five scripts differ only in the --model alias and the SBATCH --job-name, --output, and --error lines.</w:t>
      </w:r>
    </w:p>
    <w:p>
      <w:pPr>
        <w:shd w:fill="F2F2F2" w:color="auto" w:val="clear"/>
        <w:spacing w:after="0" w:line="240"/>
      </w:pPr>
      <w:r>
        <w:rPr>
          <w:rFonts w:ascii="Consolas" w:cs="Consolas" w:eastAsia="Consolas" w:hAnsi="Consolas"/>
          <w:sz w:val="18"/>
          <w:szCs w:val="18"/>
        </w:rPr>
        <w:t xml:space="preserve">#!/bin/bash</w:t>
      </w:r>
    </w:p>
    <w:p>
      <w:pPr>
        <w:shd w:fill="F2F2F2" w:color="auto" w:val="clear"/>
        <w:spacing w:after="0" w:line="240"/>
      </w:pPr>
      <w:r>
        <w:rPr>
          <w:rFonts w:ascii="Consolas" w:cs="Consolas" w:eastAsia="Consolas" w:hAnsi="Consolas"/>
          <w:sz w:val="18"/>
          <w:szCs w:val="18"/>
        </w:rPr>
        <w:t xml:space="preserve">#SBATCH --job-name=qwen_2b_4bit__matrix</w:t>
      </w:r>
    </w:p>
    <w:p>
      <w:pPr>
        <w:shd w:fill="F2F2F2" w:color="auto" w:val="clear"/>
        <w:spacing w:after="0" w:line="240"/>
      </w:pPr>
      <w:r>
        <w:rPr>
          <w:rFonts w:ascii="Consolas" w:cs="Consolas" w:eastAsia="Consolas" w:hAnsi="Consolas"/>
          <w:sz w:val="18"/>
          <w:szCs w:val="18"/>
        </w:rPr>
        <w:t xml:space="preserve">#SBATCH --partition=UGGPU-TC1</w:t>
      </w:r>
    </w:p>
    <w:p>
      <w:pPr>
        <w:shd w:fill="F2F2F2" w:color="auto" w:val="clear"/>
        <w:spacing w:after="0" w:line="240"/>
      </w:pPr>
      <w:r>
        <w:rPr>
          <w:rFonts w:ascii="Consolas" w:cs="Consolas" w:eastAsia="Consolas" w:hAnsi="Consolas"/>
          <w:sz w:val="18"/>
          <w:szCs w:val="18"/>
        </w:rPr>
        <w:t xml:space="preserve">#SBATCH --qos=normal</w:t>
      </w:r>
    </w:p>
    <w:p>
      <w:pPr>
        <w:shd w:fill="F2F2F2" w:color="auto" w:val="clear"/>
        <w:spacing w:after="0" w:line="240"/>
      </w:pPr>
      <w:r>
        <w:rPr>
          <w:rFonts w:ascii="Consolas" w:cs="Consolas" w:eastAsia="Consolas" w:hAnsi="Consolas"/>
          <w:sz w:val="18"/>
          <w:szCs w:val="18"/>
        </w:rPr>
        <w:t xml:space="preserve">#SBATCH --gres=gpu:1</w:t>
      </w:r>
    </w:p>
    <w:p>
      <w:pPr>
        <w:shd w:fill="F2F2F2" w:color="auto" w:val="clear"/>
        <w:spacing w:after="0" w:line="240"/>
      </w:pPr>
      <w:r>
        <w:rPr>
          <w:rFonts w:ascii="Consolas" w:cs="Consolas" w:eastAsia="Consolas" w:hAnsi="Consolas"/>
          <w:sz w:val="18"/>
          <w:szCs w:val="18"/>
        </w:rPr>
        <w:t xml:space="preserve">#SBATCH --cpus-per-task=1</w:t>
      </w:r>
    </w:p>
    <w:p>
      <w:pPr>
        <w:shd w:fill="F2F2F2" w:color="auto" w:val="clear"/>
        <w:spacing w:after="0" w:line="240"/>
      </w:pPr>
      <w:r>
        <w:rPr>
          <w:rFonts w:ascii="Consolas" w:cs="Consolas" w:eastAsia="Consolas" w:hAnsi="Consolas"/>
          <w:sz w:val="18"/>
          <w:szCs w:val="18"/>
        </w:rPr>
        <w:t xml:space="preserve">#SBATCH --mem=10G</w:t>
      </w:r>
    </w:p>
    <w:p>
      <w:pPr>
        <w:shd w:fill="F2F2F2" w:color="auto" w:val="clear"/>
        <w:spacing w:after="0" w:line="240"/>
      </w:pPr>
      <w:r>
        <w:rPr>
          <w:rFonts w:ascii="Consolas" w:cs="Consolas" w:eastAsia="Consolas" w:hAnsi="Consolas"/>
          <w:sz w:val="18"/>
          <w:szCs w:val="18"/>
        </w:rPr>
        <w:t xml:space="preserve">#SBATCH --time=06:00:00</w:t>
      </w:r>
    </w:p>
    <w:p>
      <w:pPr>
        <w:shd w:fill="F2F2F2" w:color="auto" w:val="clear"/>
        <w:spacing w:after="0" w:line="240"/>
      </w:pPr>
      <w:r>
        <w:rPr>
          <w:rFonts w:ascii="Consolas" w:cs="Consolas" w:eastAsia="Consolas" w:hAnsi="Consolas"/>
          <w:sz w:val="18"/>
          <w:szCs w:val="18"/>
        </w:rPr>
        <w:t xml:space="preserve">#SBATCH --output=results/slurm_logs_tc1/qwen_2b_4bit__matrix.out</w:t>
      </w:r>
    </w:p>
    <w:p>
      <w:pPr>
        <w:shd w:fill="F2F2F2" w:color="auto" w:val="clear"/>
        <w:spacing w:after="0" w:line="240"/>
      </w:pPr>
      <w:r>
        <w:rPr>
          <w:rFonts w:ascii="Consolas" w:cs="Consolas" w:eastAsia="Consolas" w:hAnsi="Consolas"/>
          <w:sz w:val="18"/>
          <w:szCs w:val="18"/>
        </w:rPr>
        <w:t xml:space="preserve">#SBATCH --error=results/slurm_logs_tc1/qwen_2b_4bit__matrix.err</w:t>
      </w:r>
    </w:p>
    <w:p>
      <w:pPr>
        <w:shd w:fill="F2F2F2" w:color="auto" w:val="clear"/>
        <w:spacing w:after="0" w:line="240"/>
      </w:pPr>
      <w:r>
        <w:rPr>
          <w:rFonts w:ascii="Consolas" w:cs="Consolas" w:eastAsia="Consolas" w:hAnsi="Consolas"/>
          <w:sz w:val="18"/>
          <w:szCs w:val="18"/>
        </w:rPr>
        <w:t xml:space="preserve"> </w:t>
      </w:r>
    </w:p>
    <w:p>
      <w:pPr>
        <w:shd w:fill="F2F2F2" w:color="auto" w:val="clear"/>
        <w:spacing w:after="0" w:line="240"/>
      </w:pPr>
      <w:r>
        <w:rPr>
          <w:rFonts w:ascii="Consolas" w:cs="Consolas" w:eastAsia="Consolas" w:hAnsi="Consolas"/>
          <w:sz w:val="18"/>
          <w:szCs w:val="18"/>
        </w:rPr>
        <w:t xml:space="preserve">set -euo pipefail</w:t>
      </w:r>
    </w:p>
    <w:p>
      <w:pPr>
        <w:shd w:fill="F2F2F2" w:color="auto" w:val="clear"/>
        <w:spacing w:after="0" w:line="240"/>
      </w:pPr>
      <w:r>
        <w:rPr>
          <w:rFonts w:ascii="Consolas" w:cs="Consolas" w:eastAsia="Consolas" w:hAnsi="Consolas"/>
          <w:sz w:val="18"/>
          <w:szCs w:val="18"/>
        </w:rPr>
        <w:t xml:space="preserve"> </w:t>
      </w:r>
    </w:p>
    <w:p>
      <w:pPr>
        <w:shd w:fill="F2F2F2" w:color="auto" w:val="clear"/>
        <w:spacing w:after="0" w:line="240"/>
      </w:pPr>
      <w:r>
        <w:rPr>
          <w:rFonts w:ascii="Consolas" w:cs="Consolas" w:eastAsia="Consolas" w:hAnsi="Consolas"/>
          <w:sz w:val="18"/>
          <w:szCs w:val="18"/>
        </w:rPr>
        <w:t xml:space="preserve">cd /tc1home/FYP/utan001/fyp_quant/repo</w:t>
      </w:r>
    </w:p>
    <w:p>
      <w:pPr>
        <w:shd w:fill="F2F2F2" w:color="auto" w:val="clear"/>
        <w:spacing w:after="0" w:line="240"/>
      </w:pPr>
      <w:r>
        <w:rPr>
          <w:rFonts w:ascii="Consolas" w:cs="Consolas" w:eastAsia="Consolas" w:hAnsi="Consolas"/>
          <w:sz w:val="18"/>
          <w:szCs w:val="18"/>
        </w:rPr>
        <w:t xml:space="preserve">mkdir -p results/slurm_logs_tc1</w:t>
      </w:r>
    </w:p>
    <w:p>
      <w:pPr>
        <w:shd w:fill="F2F2F2" w:color="auto" w:val="clear"/>
        <w:spacing w:after="0" w:line="240"/>
      </w:pPr>
      <w:r>
        <w:rPr>
          <w:rFonts w:ascii="Consolas" w:cs="Consolas" w:eastAsia="Consolas" w:hAnsi="Consolas"/>
          <w:sz w:val="18"/>
          <w:szCs w:val="18"/>
        </w:rPr>
        <w:t xml:space="preserve">module load slurm</w:t>
      </w:r>
    </w:p>
    <w:p>
      <w:pPr>
        <w:shd w:fill="F2F2F2" w:color="auto" w:val="clear"/>
        <w:spacing w:after="0" w:line="240"/>
      </w:pPr>
      <w:r>
        <w:rPr>
          <w:rFonts w:ascii="Consolas" w:cs="Consolas" w:eastAsia="Consolas" w:hAnsi="Consolas"/>
          <w:sz w:val="18"/>
          <w:szCs w:val="18"/>
        </w:rPr>
        <w:t xml:space="preserve">module load anaconda</w:t>
      </w:r>
    </w:p>
    <w:p>
      <w:pPr>
        <w:shd w:fill="F2F2F2" w:color="auto" w:val="clear"/>
        <w:spacing w:after="0" w:line="240"/>
      </w:pPr>
      <w:r>
        <w:rPr>
          <w:rFonts w:ascii="Consolas" w:cs="Consolas" w:eastAsia="Consolas" w:hAnsi="Consolas"/>
          <w:sz w:val="18"/>
          <w:szCs w:val="18"/>
        </w:rPr>
        <w:t xml:space="preserve">source activate fyp-tc1</w:t>
      </w:r>
    </w:p>
    <w:p>
      <w:pPr>
        <w:shd w:fill="F2F2F2" w:color="auto" w:val="clear"/>
        <w:spacing w:after="0" w:line="240"/>
      </w:pPr>
      <w:r>
        <w:rPr>
          <w:rFonts w:ascii="Consolas" w:cs="Consolas" w:eastAsia="Consolas" w:hAnsi="Consolas"/>
          <w:sz w:val="18"/>
          <w:szCs w:val="18"/>
        </w:rPr>
        <w:t xml:space="preserve"> </w:t>
      </w:r>
    </w:p>
    <w:p>
      <w:pPr>
        <w:shd w:fill="F2F2F2" w:color="auto" w:val="clear"/>
        <w:spacing w:after="0" w:line="240"/>
      </w:pPr>
      <w:r>
        <w:rPr>
          <w:rFonts w:ascii="Consolas" w:cs="Consolas" w:eastAsia="Consolas" w:hAnsi="Consolas"/>
          <w:sz w:val="18"/>
          <w:szCs w:val="18"/>
        </w:rPr>
        <w:t xml:space="preserve">python /tc1home/FYP/utan001/fyp_quant/repo/run_quant_matrix.py \</w:t>
      </w:r>
    </w:p>
    <w:p>
      <w:pPr>
        <w:shd w:fill="F2F2F2" w:color="auto" w:val="clear"/>
        <w:spacing w:after="0" w:line="240"/>
      </w:pPr>
      <w:r>
        <w:rPr>
          <w:rFonts w:ascii="Consolas" w:cs="Consolas" w:eastAsia="Consolas" w:hAnsi="Consolas"/>
          <w:sz w:val="18"/>
          <w:szCs w:val="18"/>
        </w:rPr>
        <w:t xml:space="preserve">    --config configs/tc1.yaml \</w:t>
      </w:r>
    </w:p>
    <w:p>
      <w:pPr>
        <w:shd w:fill="F2F2F2" w:color="auto" w:val="clear"/>
        <w:spacing w:after="0" w:line="240"/>
      </w:pPr>
      <w:r>
        <w:rPr>
          <w:rFonts w:ascii="Consolas" w:cs="Consolas" w:eastAsia="Consolas" w:hAnsi="Consolas"/>
          <w:sz w:val="18"/>
          <w:szCs w:val="18"/>
        </w:rPr>
        <w:t xml:space="preserve">    --model qwen_2b_4bit \</w:t>
      </w:r>
    </w:p>
    <w:p>
      <w:pPr>
        <w:shd w:fill="F2F2F2" w:color="auto" w:val="clear"/>
        <w:spacing w:after="0" w:line="240"/>
      </w:pPr>
      <w:r>
        <w:rPr>
          <w:rFonts w:ascii="Consolas" w:cs="Consolas" w:eastAsia="Consolas" w:hAnsi="Consolas"/>
          <w:sz w:val="18"/>
          <w:szCs w:val="18"/>
        </w:rPr>
        <w:t xml:space="preserve">    --output_dir results \</w:t>
      </w:r>
    </w:p>
    <w:p>
      <w:pPr>
        <w:shd w:fill="F2F2F2" w:color="auto" w:val="clear"/>
        <w:spacing w:after="0" w:line="240"/>
      </w:pPr>
      <w:r>
        <w:rPr>
          <w:rFonts w:ascii="Consolas" w:cs="Consolas" w:eastAsia="Consolas" w:hAnsi="Consolas"/>
          <w:sz w:val="18"/>
          <w:szCs w:val="18"/>
        </w:rPr>
        <w:t xml:space="preserve">    --seed 42 \</w:t>
      </w:r>
    </w:p>
    <w:p>
      <w:pPr>
        <w:shd w:fill="F2F2F2" w:color="auto" w:val="clear"/>
        <w:spacing w:after="0" w:line="240"/>
      </w:pPr>
      <w:r>
        <w:rPr>
          <w:rFonts w:ascii="Consolas" w:cs="Consolas" w:eastAsia="Consolas" w:hAnsi="Consolas"/>
          <w:sz w:val="18"/>
          <w:szCs w:val="18"/>
        </w:rPr>
        <w:t xml:space="preserve">    --device cuda</w:t>
      </w:r>
    </w:p>
    <w:p>
      <w:pPr>
        <w:pStyle w:val="Heading1"/>
        <w:pageBreakBefore/>
        <w:spacing w:after="200" w:before="360"/>
      </w:pPr>
      <w:r>
        <w:rPr>
          <w:rFonts w:ascii="Calibri" w:cs="Calibri" w:eastAsia="Calibri" w:hAnsi="Calibri"/>
          <w:b/>
          <w:bCs/>
          <w:sz w:val="32"/>
          <w:szCs w:val="32"/>
        </w:rPr>
        <w:t xml:space="preserve">Appendix C — Pydantic Configuration Schema Summary</w:t>
      </w:r>
    </w:p>
    <w:p>
      <w:pPr>
        <w:spacing w:after="160" w:line="300"/>
        <w:jc w:val="both"/>
      </w:pPr>
      <w:r>
        <w:rPr>
          <w:rFonts w:ascii="Calibri" w:cs="Calibri" w:eastAsia="Calibri" w:hAnsi="Calibri"/>
          <w:sz w:val="22"/>
          <w:szCs w:val="22"/>
        </w:rPr>
        <w:t xml:space="preserve">The configuration schema is defined in ethical_benchmark/quant/config_schema.py and is summarised below. All values are validated at load time; any invalid configuration raises a clear Pydantic validation error before any model is loaded.</w:t>
      </w:r>
    </w:p>
    <w:p>
      <w:pPr>
        <w:pStyle w:val="Heading3"/>
        <w:spacing w:after="120" w:before="220"/>
      </w:pPr>
      <w:r>
        <w:rPr>
          <w:rFonts w:ascii="Calibri" w:cs="Calibri" w:eastAsia="Calibri" w:hAnsi="Calibri"/>
          <w:b/>
          <w:bCs/>
          <w:sz w:val="24"/>
          <w:szCs w:val="24"/>
        </w:rPr>
        <w:t xml:space="preserve">Top-level QuantizationConfig</w:t>
      </w:r>
    </w:p>
    <w:p>
      <w:pPr>
        <w:pStyle w:val="ListParagraph"/>
        <w:numPr>
          <w:ilvl w:val="0"/>
          <w:numId w:val="2"/>
        </w:numPr>
        <w:spacing w:after="80" w:line="280"/>
      </w:pPr>
      <w:r>
        <w:rPr>
          <w:rFonts w:ascii="Calibri" w:cs="Calibri" w:eastAsia="Calibri" w:hAnsi="Calibri"/>
          <w:sz w:val="22"/>
          <w:szCs w:val="22"/>
        </w:rPr>
        <w:t xml:space="preserve">study_name : str — human-readable study identifier.</w:t>
      </w:r>
    </w:p>
    <w:p>
      <w:pPr>
        <w:pStyle w:val="ListParagraph"/>
        <w:numPr>
          <w:ilvl w:val="0"/>
          <w:numId w:val="2"/>
        </w:numPr>
        <w:spacing w:after="80" w:line="280"/>
      </w:pPr>
      <w:r>
        <w:rPr>
          <w:rFonts w:ascii="Calibri" w:cs="Calibri" w:eastAsia="Calibri" w:hAnsi="Calibri"/>
          <w:sz w:val="22"/>
          <w:szCs w:val="22"/>
        </w:rPr>
        <w:t xml:space="preserve">models : dict[str, ModelConfig] — keyed by model alias.</w:t>
      </w:r>
    </w:p>
    <w:p>
      <w:pPr>
        <w:pStyle w:val="ListParagraph"/>
        <w:numPr>
          <w:ilvl w:val="0"/>
          <w:numId w:val="2"/>
        </w:numPr>
        <w:spacing w:after="80" w:line="280"/>
      </w:pPr>
      <w:r>
        <w:rPr>
          <w:rFonts w:ascii="Calibri" w:cs="Calibri" w:eastAsia="Calibri" w:hAnsi="Calibri"/>
          <w:sz w:val="22"/>
          <w:szCs w:val="22"/>
        </w:rPr>
        <w:t xml:space="preserve">decoding : DecodingConfig — generation parameters.</w:t>
      </w:r>
    </w:p>
    <w:p>
      <w:pPr>
        <w:pStyle w:val="ListParagraph"/>
        <w:numPr>
          <w:ilvl w:val="0"/>
          <w:numId w:val="2"/>
        </w:numPr>
        <w:spacing w:after="80" w:line="280"/>
      </w:pPr>
      <w:r>
        <w:rPr>
          <w:rFonts w:ascii="Calibri" w:cs="Calibri" w:eastAsia="Calibri" w:hAnsi="Calibri"/>
          <w:sz w:val="22"/>
          <w:szCs w:val="22"/>
        </w:rPr>
        <w:t xml:space="preserve">benchmarks : dict[str, BenchmarkConfig] — keyed by benchmark name.</w:t>
      </w:r>
    </w:p>
    <w:p>
      <w:pPr>
        <w:pStyle w:val="ListParagraph"/>
        <w:numPr>
          <w:ilvl w:val="0"/>
          <w:numId w:val="2"/>
        </w:numPr>
        <w:spacing w:after="80" w:line="280"/>
      </w:pPr>
      <w:r>
        <w:rPr>
          <w:rFonts w:ascii="Calibri" w:cs="Calibri" w:eastAsia="Calibri" w:hAnsi="Calibri"/>
          <w:sz w:val="22"/>
          <w:szCs w:val="22"/>
        </w:rPr>
        <w:t xml:space="preserve">slurm : SlurmConfig — cluster directives and bootstrap.</w:t>
      </w:r>
    </w:p>
    <w:p>
      <w:pPr>
        <w:pStyle w:val="Heading3"/>
        <w:spacing w:after="120" w:before="220"/>
      </w:pPr>
      <w:r>
        <w:rPr>
          <w:rFonts w:ascii="Calibri" w:cs="Calibri" w:eastAsia="Calibri" w:hAnsi="Calibri"/>
          <w:b/>
          <w:bCs/>
          <w:sz w:val="24"/>
          <w:szCs w:val="24"/>
        </w:rPr>
        <w:t xml:space="preserve">ModelConfig</w:t>
      </w:r>
    </w:p>
    <w:p>
      <w:pPr>
        <w:pStyle w:val="ListParagraph"/>
        <w:numPr>
          <w:ilvl w:val="0"/>
          <w:numId w:val="2"/>
        </w:numPr>
        <w:spacing w:after="80" w:line="280"/>
      </w:pPr>
      <w:r>
        <w:rPr>
          <w:rFonts w:ascii="Calibri" w:cs="Calibri" w:eastAsia="Calibri" w:hAnsi="Calibri"/>
          <w:sz w:val="22"/>
          <w:szCs w:val="22"/>
        </w:rPr>
        <w:t xml:space="preserve">family : str — e.g. "qwen", "llama".</w:t>
      </w:r>
    </w:p>
    <w:p>
      <w:pPr>
        <w:pStyle w:val="ListParagraph"/>
        <w:numPr>
          <w:ilvl w:val="0"/>
          <w:numId w:val="2"/>
        </w:numPr>
        <w:spacing w:after="80" w:line="280"/>
      </w:pPr>
      <w:r>
        <w:rPr>
          <w:rFonts w:ascii="Calibri" w:cs="Calibri" w:eastAsia="Calibri" w:hAnsi="Calibri"/>
          <w:sz w:val="22"/>
          <w:szCs w:val="22"/>
        </w:rPr>
        <w:t xml:space="preserve">size_b : float — parameter count in billions.</w:t>
      </w:r>
    </w:p>
    <w:p>
      <w:pPr>
        <w:pStyle w:val="ListParagraph"/>
        <w:numPr>
          <w:ilvl w:val="0"/>
          <w:numId w:val="2"/>
        </w:numPr>
        <w:spacing w:after="80" w:line="280"/>
      </w:pPr>
      <w:r>
        <w:rPr>
          <w:rFonts w:ascii="Calibri" w:cs="Calibri" w:eastAsia="Calibri" w:hAnsi="Calibri"/>
          <w:sz w:val="22"/>
          <w:szCs w:val="22"/>
        </w:rPr>
        <w:t xml:space="preserve">quantized : bool — true triggers NF4 loading.</w:t>
      </w:r>
    </w:p>
    <w:p>
      <w:pPr>
        <w:pStyle w:val="ListParagraph"/>
        <w:numPr>
          <w:ilvl w:val="0"/>
          <w:numId w:val="2"/>
        </w:numPr>
        <w:spacing w:after="80" w:line="280"/>
      </w:pPr>
      <w:r>
        <w:rPr>
          <w:rFonts w:ascii="Calibri" w:cs="Calibri" w:eastAsia="Calibri" w:hAnsi="Calibri"/>
          <w:sz w:val="22"/>
          <w:szCs w:val="22"/>
        </w:rPr>
        <w:t xml:space="preserve">pair_id : str — links baseline and 4-bit members of the same pair.</w:t>
      </w:r>
    </w:p>
    <w:p>
      <w:pPr>
        <w:pStyle w:val="ListParagraph"/>
        <w:numPr>
          <w:ilvl w:val="0"/>
          <w:numId w:val="2"/>
        </w:numPr>
        <w:spacing w:after="80" w:line="280"/>
      </w:pPr>
      <w:r>
        <w:rPr>
          <w:rFonts w:ascii="Calibri" w:cs="Calibri" w:eastAsia="Calibri" w:hAnsi="Calibri"/>
          <w:sz w:val="22"/>
          <w:szCs w:val="22"/>
        </w:rPr>
        <w:t xml:space="preserve">model_id : str — Hugging Face repo id.</w:t>
      </w:r>
    </w:p>
    <w:p>
      <w:pPr>
        <w:pStyle w:val="ListParagraph"/>
        <w:numPr>
          <w:ilvl w:val="0"/>
          <w:numId w:val="2"/>
        </w:numPr>
        <w:spacing w:after="80" w:line="280"/>
      </w:pPr>
      <w:r>
        <w:rPr>
          <w:rFonts w:ascii="Calibri" w:cs="Calibri" w:eastAsia="Calibri" w:hAnsi="Calibri"/>
          <w:sz w:val="22"/>
          <w:szCs w:val="22"/>
        </w:rPr>
        <w:t xml:space="preserve">trust_remote_code : bool — disabled by default.</w:t>
      </w:r>
    </w:p>
    <w:p>
      <w:pPr>
        <w:pStyle w:val="ListParagraph"/>
        <w:numPr>
          <w:ilvl w:val="0"/>
          <w:numId w:val="2"/>
        </w:numPr>
        <w:spacing w:after="80" w:line="280"/>
      </w:pPr>
      <w:r>
        <w:rPr>
          <w:rFonts w:ascii="Calibri" w:cs="Calibri" w:eastAsia="Calibri" w:hAnsi="Calibri"/>
          <w:sz w:val="22"/>
          <w:szCs w:val="22"/>
        </w:rPr>
        <w:t xml:space="preserve">dtype : str — one of "auto", "float16", "bfloat16", "float32".</w:t>
      </w:r>
    </w:p>
    <w:p>
      <w:pPr>
        <w:pStyle w:val="ListParagraph"/>
        <w:numPr>
          <w:ilvl w:val="0"/>
          <w:numId w:val="2"/>
        </w:numPr>
        <w:spacing w:after="80" w:line="280"/>
      </w:pPr>
      <w:r>
        <w:rPr>
          <w:rFonts w:ascii="Calibri" w:cs="Calibri" w:eastAsia="Calibri" w:hAnsi="Calibri"/>
          <w:sz w:val="22"/>
          <w:szCs w:val="22"/>
        </w:rPr>
        <w:t xml:space="preserve">benchmarks : list[str] — must reference top-level benchmark keys.</w:t>
      </w:r>
    </w:p>
    <w:p>
      <w:pPr>
        <w:pStyle w:val="ListParagraph"/>
        <w:numPr>
          <w:ilvl w:val="0"/>
          <w:numId w:val="2"/>
        </w:numPr>
        <w:spacing w:after="80" w:line="280"/>
      </w:pPr>
      <w:r>
        <w:rPr>
          <w:rFonts w:ascii="Calibri" w:cs="Calibri" w:eastAsia="Calibri" w:hAnsi="Calibri"/>
          <w:sz w:val="22"/>
          <w:szCs w:val="22"/>
        </w:rPr>
        <w:t xml:space="preserve">revision : str | None — optional Hugging Face commit pin.</w:t>
      </w:r>
    </w:p>
    <w:p>
      <w:pPr>
        <w:pStyle w:val="Heading3"/>
        <w:spacing w:after="120" w:before="220"/>
      </w:pPr>
      <w:r>
        <w:rPr>
          <w:rFonts w:ascii="Calibri" w:cs="Calibri" w:eastAsia="Calibri" w:hAnsi="Calibri"/>
          <w:b/>
          <w:bCs/>
          <w:sz w:val="24"/>
          <w:szCs w:val="24"/>
        </w:rPr>
        <w:t xml:space="preserve">DecodingConfig</w:t>
      </w:r>
    </w:p>
    <w:p>
      <w:pPr>
        <w:pStyle w:val="ListParagraph"/>
        <w:numPr>
          <w:ilvl w:val="0"/>
          <w:numId w:val="2"/>
        </w:numPr>
        <w:spacing w:after="80" w:line="280"/>
      </w:pPr>
      <w:r>
        <w:rPr>
          <w:rFonts w:ascii="Calibri" w:cs="Calibri" w:eastAsia="Calibri" w:hAnsi="Calibri"/>
          <w:sz w:val="22"/>
          <w:szCs w:val="22"/>
        </w:rPr>
        <w:t xml:space="preserve">max_new_tokens : int (≥1)</w:t>
      </w:r>
    </w:p>
    <w:p>
      <w:pPr>
        <w:pStyle w:val="ListParagraph"/>
        <w:numPr>
          <w:ilvl w:val="0"/>
          <w:numId w:val="2"/>
        </w:numPr>
        <w:spacing w:after="80" w:line="280"/>
      </w:pPr>
      <w:r>
        <w:rPr>
          <w:rFonts w:ascii="Calibri" w:cs="Calibri" w:eastAsia="Calibri" w:hAnsi="Calibri"/>
          <w:sz w:val="22"/>
          <w:szCs w:val="22"/>
        </w:rPr>
        <w:t xml:space="preserve">temperature : float (0.0–2.0)</w:t>
      </w:r>
    </w:p>
    <w:p>
      <w:pPr>
        <w:pStyle w:val="ListParagraph"/>
        <w:numPr>
          <w:ilvl w:val="0"/>
          <w:numId w:val="2"/>
        </w:numPr>
        <w:spacing w:after="80" w:line="280"/>
      </w:pPr>
      <w:r>
        <w:rPr>
          <w:rFonts w:ascii="Calibri" w:cs="Calibri" w:eastAsia="Calibri" w:hAnsi="Calibri"/>
          <w:sz w:val="22"/>
          <w:szCs w:val="22"/>
        </w:rPr>
        <w:t xml:space="preserve">top_p : float (0.0–1.0)</w:t>
      </w:r>
    </w:p>
    <w:p>
      <w:pPr>
        <w:pStyle w:val="ListParagraph"/>
        <w:numPr>
          <w:ilvl w:val="0"/>
          <w:numId w:val="2"/>
        </w:numPr>
        <w:spacing w:after="80" w:line="280"/>
      </w:pPr>
      <w:r>
        <w:rPr>
          <w:rFonts w:ascii="Calibri" w:cs="Calibri" w:eastAsia="Calibri" w:hAnsi="Calibri"/>
          <w:sz w:val="22"/>
          <w:szCs w:val="22"/>
        </w:rPr>
        <w:t xml:space="preserve">repetition_penalty : float (≥1.0)</w:t>
      </w:r>
    </w:p>
    <w:p>
      <w:pPr>
        <w:pStyle w:val="ListParagraph"/>
        <w:numPr>
          <w:ilvl w:val="0"/>
          <w:numId w:val="2"/>
        </w:numPr>
        <w:spacing w:after="80" w:line="280"/>
      </w:pPr>
      <w:r>
        <w:rPr>
          <w:rFonts w:ascii="Calibri" w:cs="Calibri" w:eastAsia="Calibri" w:hAnsi="Calibri"/>
          <w:sz w:val="22"/>
          <w:szCs w:val="22"/>
        </w:rPr>
        <w:t xml:space="preserve">max_input_tokens : int (≥1)</w:t>
      </w:r>
    </w:p>
    <w:p>
      <w:pPr>
        <w:pStyle w:val="ListParagraph"/>
        <w:numPr>
          <w:ilvl w:val="0"/>
          <w:numId w:val="2"/>
        </w:numPr>
        <w:spacing w:after="80" w:line="280"/>
      </w:pPr>
      <w:r>
        <w:rPr>
          <w:rFonts w:ascii="Calibri" w:cs="Calibri" w:eastAsia="Calibri" w:hAnsi="Calibri"/>
          <w:sz w:val="22"/>
          <w:szCs w:val="22"/>
        </w:rPr>
        <w:t xml:space="preserve">use_chat_template : bool</w:t>
      </w:r>
    </w:p>
    <w:p>
      <w:pPr>
        <w:pStyle w:val="Heading3"/>
        <w:spacing w:after="120" w:before="220"/>
      </w:pPr>
      <w:r>
        <w:rPr>
          <w:rFonts w:ascii="Calibri" w:cs="Calibri" w:eastAsia="Calibri" w:hAnsi="Calibri"/>
          <w:b/>
          <w:bCs/>
          <w:sz w:val="24"/>
          <w:szCs w:val="24"/>
        </w:rPr>
        <w:t xml:space="preserve">BenchmarkConfig</w:t>
      </w:r>
    </w:p>
    <w:p>
      <w:pPr>
        <w:pStyle w:val="ListParagraph"/>
        <w:numPr>
          <w:ilvl w:val="0"/>
          <w:numId w:val="2"/>
        </w:numPr>
        <w:spacing w:after="80" w:line="280"/>
      </w:pPr>
      <w:r>
        <w:rPr>
          <w:rFonts w:ascii="Calibri" w:cs="Calibri" w:eastAsia="Calibri" w:hAnsi="Calibri"/>
          <w:sz w:val="22"/>
          <w:szCs w:val="22"/>
        </w:rPr>
        <w:t xml:space="preserve">dataset_name : str — Hugging Face dataset id.</w:t>
      </w:r>
    </w:p>
    <w:p>
      <w:pPr>
        <w:pStyle w:val="ListParagraph"/>
        <w:numPr>
          <w:ilvl w:val="0"/>
          <w:numId w:val="2"/>
        </w:numPr>
        <w:spacing w:after="80" w:line="280"/>
      </w:pPr>
      <w:r>
        <w:rPr>
          <w:rFonts w:ascii="Calibri" w:cs="Calibri" w:eastAsia="Calibri" w:hAnsi="Calibri"/>
          <w:sz w:val="22"/>
          <w:szCs w:val="22"/>
        </w:rPr>
        <w:t xml:space="preserve">split : str — dataset split.</w:t>
      </w:r>
    </w:p>
    <w:p>
      <w:pPr>
        <w:pStyle w:val="ListParagraph"/>
        <w:numPr>
          <w:ilvl w:val="0"/>
          <w:numId w:val="2"/>
        </w:numPr>
        <w:spacing w:after="80" w:line="280"/>
      </w:pPr>
      <w:r>
        <w:rPr>
          <w:rFonts w:ascii="Calibri" w:cs="Calibri" w:eastAsia="Calibri" w:hAnsi="Calibri"/>
          <w:sz w:val="22"/>
          <w:szCs w:val="22"/>
        </w:rPr>
        <w:t xml:space="preserve">max_samples : int — sample cap.</w:t>
      </w:r>
    </w:p>
    <w:p>
      <w:pPr>
        <w:pStyle w:val="ListParagraph"/>
        <w:numPr>
          <w:ilvl w:val="0"/>
          <w:numId w:val="2"/>
        </w:numPr>
        <w:spacing w:after="80" w:line="280"/>
      </w:pPr>
      <w:r>
        <w:rPr>
          <w:rFonts w:ascii="Calibri" w:cs="Calibri" w:eastAsia="Calibri" w:hAnsi="Calibri"/>
          <w:sz w:val="22"/>
          <w:szCs w:val="22"/>
        </w:rPr>
        <w:t xml:space="preserve">batch_size : int — generation batch size.</w:t>
      </w:r>
    </w:p>
    <w:p>
      <w:pPr>
        <w:pStyle w:val="ListParagraph"/>
        <w:numPr>
          <w:ilvl w:val="0"/>
          <w:numId w:val="2"/>
        </w:numPr>
        <w:spacing w:after="80" w:line="280"/>
      </w:pPr>
      <w:r>
        <w:rPr>
          <w:rFonts w:ascii="Calibri" w:cs="Calibri" w:eastAsia="Calibri" w:hAnsi="Calibri"/>
          <w:sz w:val="22"/>
          <w:szCs w:val="22"/>
        </w:rPr>
        <w:t xml:space="preserve">benign_only : bool (XSTest only).</w:t>
      </w:r>
    </w:p>
    <w:p>
      <w:pPr>
        <w:pStyle w:val="ListParagraph"/>
        <w:numPr>
          <w:ilvl w:val="0"/>
          <w:numId w:val="2"/>
        </w:numPr>
        <w:spacing w:after="80" w:line="280"/>
      </w:pPr>
      <w:r>
        <w:rPr>
          <w:rFonts w:ascii="Calibri" w:cs="Calibri" w:eastAsia="Calibri" w:hAnsi="Calibri"/>
          <w:sz w:val="22"/>
          <w:szCs w:val="22"/>
        </w:rPr>
        <w:t xml:space="preserve">subjects : list[str] (MMLU only).</w:t>
      </w:r>
    </w:p>
    <w:p>
      <w:pPr>
        <w:pStyle w:val="Heading3"/>
        <w:spacing w:after="120" w:before="220"/>
      </w:pPr>
      <w:r>
        <w:rPr>
          <w:rFonts w:ascii="Calibri" w:cs="Calibri" w:eastAsia="Calibri" w:hAnsi="Calibri"/>
          <w:b/>
          <w:bCs/>
          <w:sz w:val="24"/>
          <w:szCs w:val="24"/>
        </w:rPr>
        <w:t xml:space="preserve">SlurmConfig</w:t>
      </w:r>
    </w:p>
    <w:p>
      <w:pPr>
        <w:pStyle w:val="ListParagraph"/>
        <w:numPr>
          <w:ilvl w:val="0"/>
          <w:numId w:val="2"/>
        </w:numPr>
        <w:spacing w:after="80" w:line="280"/>
      </w:pPr>
      <w:r>
        <w:rPr>
          <w:rFonts w:ascii="Calibri" w:cs="Calibri" w:eastAsia="Calibri" w:hAnsi="Calibri"/>
          <w:sz w:val="22"/>
          <w:szCs w:val="22"/>
        </w:rPr>
        <w:t xml:space="preserve">partition, qos, account, gpus, cpus_per_task, mem, time, log_dir, work_dir, setup_commands.</w:t>
      </w:r>
    </w:p>
    <w:p>
      <w:pPr>
        <w:pStyle w:val="Heading3"/>
        <w:spacing w:after="120" w:before="220"/>
      </w:pPr>
      <w:r>
        <w:rPr>
          <w:rFonts w:ascii="Calibri" w:cs="Calibri" w:eastAsia="Calibri" w:hAnsi="Calibri"/>
          <w:b/>
          <w:bCs/>
          <w:sz w:val="24"/>
          <w:szCs w:val="24"/>
        </w:rPr>
        <w:t xml:space="preserve">Validators</w:t>
      </w:r>
    </w:p>
    <w:p>
      <w:pPr>
        <w:pStyle w:val="ListParagraph"/>
        <w:numPr>
          <w:ilvl w:val="0"/>
          <w:numId w:val="2"/>
        </w:numPr>
        <w:spacing w:after="80" w:line="280"/>
      </w:pPr>
      <w:r>
        <w:rPr>
          <w:rFonts w:ascii="Calibri" w:cs="Calibri" w:eastAsia="Calibri" w:hAnsi="Calibri"/>
          <w:sz w:val="22"/>
          <w:szCs w:val="22"/>
        </w:rPr>
        <w:t xml:space="preserve">Every pair_id must have at least one baseline (quantized=false) and one quantized (quantized=true) member.</w:t>
      </w:r>
    </w:p>
    <w:p>
      <w:pPr>
        <w:pStyle w:val="ListParagraph"/>
        <w:numPr>
          <w:ilvl w:val="0"/>
          <w:numId w:val="2"/>
        </w:numPr>
        <w:spacing w:after="80" w:line="280"/>
      </w:pPr>
      <w:r>
        <w:rPr>
          <w:rFonts w:ascii="Calibri" w:cs="Calibri" w:eastAsia="Calibri" w:hAnsi="Calibri"/>
          <w:sz w:val="22"/>
          <w:szCs w:val="22"/>
        </w:rPr>
        <w:t xml:space="preserve">Every benchmark referenced in a model's benchmarks list must exist as a top-level benchmark.</w:t>
      </w:r>
    </w:p>
    <w:p>
      <w:pPr>
        <w:pStyle w:val="ListParagraph"/>
        <w:numPr>
          <w:ilvl w:val="0"/>
          <w:numId w:val="2"/>
        </w:numPr>
        <w:spacing w:after="80" w:line="280"/>
      </w:pPr>
      <w:r>
        <w:rPr>
          <w:rFonts w:ascii="Calibri" w:cs="Calibri" w:eastAsia="Calibri" w:hAnsi="Calibri"/>
          <w:sz w:val="22"/>
          <w:szCs w:val="22"/>
        </w:rPr>
        <w:t xml:space="preserve">dtype must be one of the supported aliases.</w:t>
      </w:r>
    </w:p>
    <w:p>
      <w:pPr>
        <w:pStyle w:val="ListParagraph"/>
        <w:numPr>
          <w:ilvl w:val="0"/>
          <w:numId w:val="2"/>
        </w:numPr>
        <w:spacing w:after="80" w:line="280"/>
      </w:pPr>
      <w:r>
        <w:rPr>
          <w:rFonts w:ascii="Calibri" w:cs="Calibri" w:eastAsia="Calibri" w:hAnsi="Calibri"/>
          <w:sz w:val="22"/>
          <w:szCs w:val="22"/>
        </w:rPr>
        <w:t xml:space="preserve">Numeric ranges enforced on decoding parameters.</w:t>
      </w:r>
    </w:p>
    <w:p>
      <w:pPr>
        <w:pStyle w:val="Heading1"/>
        <w:pageBreakBefore/>
        <w:spacing w:after="200" w:before="360"/>
      </w:pPr>
      <w:r>
        <w:rPr>
          <w:rFonts w:ascii="Calibri" w:cs="Calibri" w:eastAsia="Calibri" w:hAnsi="Calibri"/>
          <w:b/>
          <w:bCs/>
          <w:sz w:val="32"/>
          <w:szCs w:val="32"/>
        </w:rPr>
        <w:t xml:space="preserve">Appendix D — Test Inventory</w:t>
      </w:r>
    </w:p>
    <w:p>
      <w:pPr>
        <w:spacing w:after="160" w:line="300"/>
        <w:jc w:val="both"/>
      </w:pPr>
      <w:r>
        <w:rPr>
          <w:rFonts w:ascii="Calibri" w:cs="Calibri" w:eastAsia="Calibri" w:hAnsi="Calibri"/>
          <w:sz w:val="22"/>
          <w:szCs w:val="22"/>
        </w:rPr>
        <w:t xml:space="preserve">The verification suite comprises 122 automated tests across twelve test files. The distribution is summarised in Table D.1; the test files are located under tests/ in the repository.</w:t>
      </w:r>
    </w:p>
    <w:tbl>
      <w:tblPr>
        <w:tblW w:type="dxa" w:w="9360"/>
        <w:tblBorders>
          <w:top w:val="single" w:color="999999" w:sz="4"/>
          <w:left w:val="single" w:color="999999" w:sz="4"/>
          <w:bottom w:val="single" w:color="999999" w:sz="4"/>
          <w:right w:val="single" w:color="999999" w:sz="4"/>
          <w:insideH w:val="single" w:color="999999" w:sz="4"/>
          <w:insideV w:val="single" w:color="999999" w:sz="4"/>
        </w:tblBorders>
      </w:tblPr>
      <w:tblGrid>
        <w:gridCol w:w="3000"/>
        <w:gridCol w:w="1200"/>
        <w:gridCol w:w="5160"/>
      </w:tblGrid>
      <w:tr>
        <w:trPr>
          <w:tblHeader/>
        </w:trPr>
        <w:tc>
          <w:tcPr>
            <w:tcW w:type="dxa" w:w="30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Test file</w:t>
            </w:r>
          </w:p>
        </w:tc>
        <w:tc>
          <w:tcPr>
            <w:tcW w:type="dxa" w:w="12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Test count</w:t>
            </w:r>
          </w:p>
        </w:tc>
        <w:tc>
          <w:tcPr>
            <w:tcW w:type="dxa" w:w="516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Coverage area</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test_datasets.py</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27</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Dataset loaders (toxicity, bias, factuality); type coercion helpers.</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test_evaluators.py</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21</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Legacy evaluator parsing and aggregation.</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test_matrix_reuse.py</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Matrix runner reuse_loaded_model behaviour.</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test_metrics_and_config.py</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20</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Bootstrap CI, JSONL/CSV round-trip, schema validation.</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test_models.py</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18</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ModelSpec, device and dtype resolution, prompt formatting (incl. enable_thinking).</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test_pipeline.py</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12</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Batched generation and orchestration helpers.</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test_quant_analysis.py</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4</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Pairwise delta computation and interpretation labels.</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test_quant_pipeline_utils.py</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4</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Record schema validation, resume helpers.</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test_quant_smoke.py</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End-to-end pipeline smoke test on a stub.</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test_refusal_parser.py</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4</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Refusal regex correctness on representative responses.</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test_slurm_helpers.py</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8</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Generated sbatch contents and per-benchmark/per-model grouping.</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(other small fixtures)</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Conftest fixtures, shared mocks.</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Total</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122</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All passing on the current commit.</w:t>
            </w:r>
          </w:p>
        </w:tc>
      </w:tr>
    </w:tbl>
    <w:p>
      <w:pPr>
        <w:spacing w:after="120" w:line="300"/>
      </w:pPr>
      <w:r>
        <w:rPr>
          <w:rFonts w:ascii="Calibri" w:cs="Calibri" w:eastAsia="Calibri" w:hAnsi="Calibri"/>
          <w:sz w:val="18"/>
          <w:szCs w:val="18"/>
        </w:rPr>
        <w:t xml:space="preserve">Table D.1  Distribution of automated tests across modules.</w:t>
      </w:r>
    </w:p>
    <w:p>
      <w:pPr>
        <w:pStyle w:val="Heading1"/>
        <w:pageBreakBefore/>
        <w:spacing w:after="200" w:before="360"/>
      </w:pPr>
      <w:r>
        <w:rPr>
          <w:rFonts w:ascii="Calibri" w:cs="Calibri" w:eastAsia="Calibri" w:hAnsi="Calibri"/>
          <w:b/>
          <w:bCs/>
          <w:sz w:val="32"/>
          <w:szCs w:val="32"/>
        </w:rPr>
        <w:t xml:space="preserve">Appendix E — Repository Layout</w:t>
      </w:r>
    </w:p>
    <w:p>
      <w:pPr>
        <w:spacing w:after="160" w:line="300"/>
        <w:jc w:val="both"/>
      </w:pPr>
      <w:r>
        <w:rPr>
          <w:rFonts w:ascii="Calibri" w:cs="Calibri" w:eastAsia="Calibri" w:hAnsi="Calibri"/>
          <w:sz w:val="22"/>
          <w:szCs w:val="22"/>
        </w:rPr>
        <w:t xml:space="preserve">The top-level repository layout is reproduced below for orientation. Only research-relevant files are shown; build artifacts and caches are omitted.</w:t>
      </w:r>
    </w:p>
    <w:p>
      <w:pPr>
        <w:shd w:fill="F2F2F2" w:color="auto" w:val="clear"/>
        <w:spacing w:after="0" w:line="240"/>
      </w:pPr>
      <w:r>
        <w:rPr>
          <w:rFonts w:ascii="Consolas" w:cs="Consolas" w:eastAsia="Consolas" w:hAnsi="Consolas"/>
          <w:sz w:val="18"/>
          <w:szCs w:val="18"/>
        </w:rPr>
        <w:t xml:space="preserve">fyp_quant/</w:t>
      </w:r>
    </w:p>
    <w:p>
      <w:pPr>
        <w:shd w:fill="F2F2F2" w:color="auto" w:val="clear"/>
        <w:spacing w:after="0" w:line="240"/>
      </w:pPr>
      <w:r>
        <w:rPr>
          <w:rFonts w:ascii="Consolas" w:cs="Consolas" w:eastAsia="Consolas" w:hAnsi="Consolas"/>
          <w:sz w:val="18"/>
          <w:szCs w:val="18"/>
        </w:rPr>
        <w:t xml:space="preserve">├── README.md</w:t>
      </w:r>
    </w:p>
    <w:p>
      <w:pPr>
        <w:shd w:fill="F2F2F2" w:color="auto" w:val="clear"/>
        <w:spacing w:after="0" w:line="240"/>
      </w:pPr>
      <w:r>
        <w:rPr>
          <w:rFonts w:ascii="Consolas" w:cs="Consolas" w:eastAsia="Consolas" w:hAnsi="Consolas"/>
          <w:sz w:val="18"/>
          <w:szCs w:val="18"/>
        </w:rPr>
        <w:t xml:space="preserve">├── CLAUDE.md                 (developer guidance for AI-assisted work)</w:t>
      </w:r>
    </w:p>
    <w:p>
      <w:pPr>
        <w:shd w:fill="F2F2F2" w:color="auto" w:val="clear"/>
        <w:spacing w:after="0" w:line="240"/>
      </w:pPr>
      <w:r>
        <w:rPr>
          <w:rFonts w:ascii="Consolas" w:cs="Consolas" w:eastAsia="Consolas" w:hAnsi="Consolas"/>
          <w:sz w:val="18"/>
          <w:szCs w:val="18"/>
        </w:rPr>
        <w:t xml:space="preserve">├── Makefile                  (smoke / run / matrix / analyze / cluster-* targets)</w:t>
      </w:r>
    </w:p>
    <w:p>
      <w:pPr>
        <w:shd w:fill="F2F2F2" w:color="auto" w:val="clear"/>
        <w:spacing w:after="0" w:line="240"/>
      </w:pPr>
      <w:r>
        <w:rPr>
          <w:rFonts w:ascii="Consolas" w:cs="Consolas" w:eastAsia="Consolas" w:hAnsi="Consolas"/>
          <w:sz w:val="18"/>
          <w:szCs w:val="18"/>
        </w:rPr>
        <w:t xml:space="preserve">├── fyp_cli.py                (unified CLI)</w:t>
      </w:r>
    </w:p>
    <w:p>
      <w:pPr>
        <w:shd w:fill="F2F2F2" w:color="auto" w:val="clear"/>
        <w:spacing w:after="0" w:line="240"/>
      </w:pPr>
      <w:r>
        <w:rPr>
          <w:rFonts w:ascii="Consolas" w:cs="Consolas" w:eastAsia="Consolas" w:hAnsi="Consolas"/>
          <w:sz w:val="18"/>
          <w:szCs w:val="18"/>
        </w:rPr>
        <w:t xml:space="preserve">├── run_quant_benchmark.py    (single-run entrypoint)</w:t>
      </w:r>
    </w:p>
    <w:p>
      <w:pPr>
        <w:shd w:fill="F2F2F2" w:color="auto" w:val="clear"/>
        <w:spacing w:after="0" w:line="240"/>
      </w:pPr>
      <w:r>
        <w:rPr>
          <w:rFonts w:ascii="Consolas" w:cs="Consolas" w:eastAsia="Consolas" w:hAnsi="Consolas"/>
          <w:sz w:val="18"/>
          <w:szCs w:val="18"/>
        </w:rPr>
        <w:t xml:space="preserve">├── run_quant_matrix.py       (matrix entrypoint)</w:t>
      </w:r>
    </w:p>
    <w:p>
      <w:pPr>
        <w:shd w:fill="F2F2F2" w:color="auto" w:val="clear"/>
        <w:spacing w:after="0" w:line="240"/>
      </w:pPr>
      <w:r>
        <w:rPr>
          <w:rFonts w:ascii="Consolas" w:cs="Consolas" w:eastAsia="Consolas" w:hAnsi="Consolas"/>
          <w:sz w:val="18"/>
          <w:szCs w:val="18"/>
        </w:rPr>
        <w:t xml:space="preserve">├── compare_quant_pairs.py    (analysis entrypoint)</w:t>
      </w:r>
    </w:p>
    <w:p>
      <w:pPr>
        <w:shd w:fill="F2F2F2" w:color="auto" w:val="clear"/>
        <w:spacing w:after="0" w:line="240"/>
      </w:pPr>
      <w:r>
        <w:rPr>
          <w:rFonts w:ascii="Consolas" w:cs="Consolas" w:eastAsia="Consolas" w:hAnsi="Consolas"/>
          <w:sz w:val="18"/>
          <w:szCs w:val="18"/>
        </w:rPr>
        <w:t xml:space="preserve">├── configs/</w:t>
      </w:r>
    </w:p>
    <w:p>
      <w:pPr>
        <w:shd w:fill="F2F2F2" w:color="auto" w:val="clear"/>
        <w:spacing w:after="0" w:line="240"/>
      </w:pPr>
      <w:r>
        <w:rPr>
          <w:rFonts w:ascii="Consolas" w:cs="Consolas" w:eastAsia="Consolas" w:hAnsi="Consolas"/>
          <w:sz w:val="18"/>
          <w:szCs w:val="18"/>
        </w:rPr>
        <w:t xml:space="preserve">│   ├── default.yaml          (local development)</w:t>
      </w:r>
    </w:p>
    <w:p>
      <w:pPr>
        <w:shd w:fill="F2F2F2" w:color="auto" w:val="clear"/>
        <w:spacing w:after="0" w:line="240"/>
      </w:pPr>
      <w:r>
        <w:rPr>
          <w:rFonts w:ascii="Consolas" w:cs="Consolas" w:eastAsia="Consolas" w:hAnsi="Consolas"/>
          <w:sz w:val="18"/>
          <w:szCs w:val="18"/>
        </w:rPr>
        <w:t xml:space="preserve">│   └── tc1.yaml              (TC1 cluster)</w:t>
      </w:r>
    </w:p>
    <w:p>
      <w:pPr>
        <w:shd w:fill="F2F2F2" w:color="auto" w:val="clear"/>
        <w:spacing w:after="0" w:line="240"/>
      </w:pPr>
      <w:r>
        <w:rPr>
          <w:rFonts w:ascii="Consolas" w:cs="Consolas" w:eastAsia="Consolas" w:hAnsi="Consolas"/>
          <w:sz w:val="18"/>
          <w:szCs w:val="18"/>
        </w:rPr>
        <w:t xml:space="preserve">├── ethical_benchmark/</w:t>
      </w:r>
    </w:p>
    <w:p>
      <w:pPr>
        <w:shd w:fill="F2F2F2" w:color="auto" w:val="clear"/>
        <w:spacing w:after="0" w:line="240"/>
      </w:pPr>
      <w:r>
        <w:rPr>
          <w:rFonts w:ascii="Consolas" w:cs="Consolas" w:eastAsia="Consolas" w:hAnsi="Consolas"/>
          <w:sz w:val="18"/>
          <w:szCs w:val="18"/>
        </w:rPr>
        <w:t xml:space="preserve">│   ├── quant/config_schema.py</w:t>
      </w:r>
    </w:p>
    <w:p>
      <w:pPr>
        <w:shd w:fill="F2F2F2" w:color="auto" w:val="clear"/>
        <w:spacing w:after="0" w:line="240"/>
      </w:pPr>
      <w:r>
        <w:rPr>
          <w:rFonts w:ascii="Consolas" w:cs="Consolas" w:eastAsia="Consolas" w:hAnsi="Consolas"/>
          <w:sz w:val="18"/>
          <w:szCs w:val="18"/>
        </w:rPr>
        <w:t xml:space="preserve">│   ├── models/{loader.py, generation.py}</w:t>
      </w:r>
    </w:p>
    <w:p>
      <w:pPr>
        <w:shd w:fill="F2F2F2" w:color="auto" w:val="clear"/>
        <w:spacing w:after="0" w:line="240"/>
      </w:pPr>
      <w:r>
        <w:rPr>
          <w:rFonts w:ascii="Consolas" w:cs="Consolas" w:eastAsia="Consolas" w:hAnsi="Consolas"/>
          <w:sz w:val="18"/>
          <w:szCs w:val="18"/>
        </w:rPr>
        <w:t xml:space="preserve">│   ├── benchmarks/{base.py, harmbench.py, xstest.py, mmlu.py, registry.py, utils.py}</w:t>
      </w:r>
    </w:p>
    <w:p>
      <w:pPr>
        <w:shd w:fill="F2F2F2" w:color="auto" w:val="clear"/>
        <w:spacing w:after="0" w:line="240"/>
      </w:pPr>
      <w:r>
        <w:rPr>
          <w:rFonts w:ascii="Consolas" w:cs="Consolas" w:eastAsia="Consolas" w:hAnsi="Consolas"/>
          <w:sz w:val="18"/>
          <w:szCs w:val="18"/>
        </w:rPr>
        <w:t xml:space="preserve">│   ├── pipeline/{run_quant_benchmark.py, run_quant_matrix.py}</w:t>
      </w:r>
    </w:p>
    <w:p>
      <w:pPr>
        <w:shd w:fill="F2F2F2" w:color="auto" w:val="clear"/>
        <w:spacing w:after="0" w:line="240"/>
      </w:pPr>
      <w:r>
        <w:rPr>
          <w:rFonts w:ascii="Consolas" w:cs="Consolas" w:eastAsia="Consolas" w:hAnsi="Consolas"/>
          <w:sz w:val="18"/>
          <w:szCs w:val="18"/>
        </w:rPr>
        <w:t xml:space="preserve">│   ├── analysis/compare_quant_pairs.py</w:t>
      </w:r>
    </w:p>
    <w:p>
      <w:pPr>
        <w:shd w:fill="F2F2F2" w:color="auto" w:val="clear"/>
        <w:spacing w:after="0" w:line="240"/>
      </w:pPr>
      <w:r>
        <w:rPr>
          <w:rFonts w:ascii="Consolas" w:cs="Consolas" w:eastAsia="Consolas" w:hAnsi="Consolas"/>
          <w:sz w:val="18"/>
          <w:szCs w:val="18"/>
        </w:rPr>
        <w:t xml:space="preserve">│   ├── cluster/{generate_jobs.py, submit_jobs.py, check_runs.py}</w:t>
      </w:r>
    </w:p>
    <w:p>
      <w:pPr>
        <w:shd w:fill="F2F2F2" w:color="auto" w:val="clear"/>
        <w:spacing w:after="0" w:line="240"/>
      </w:pPr>
      <w:r>
        <w:rPr>
          <w:rFonts w:ascii="Consolas" w:cs="Consolas" w:eastAsia="Consolas" w:hAnsi="Consolas"/>
          <w:sz w:val="18"/>
          <w:szCs w:val="18"/>
        </w:rPr>
        <w:t xml:space="preserve">│   └── metrics/</w:t>
      </w:r>
    </w:p>
    <w:p>
      <w:pPr>
        <w:shd w:fill="F2F2F2" w:color="auto" w:val="clear"/>
        <w:spacing w:after="0" w:line="240"/>
      </w:pPr>
      <w:r>
        <w:rPr>
          <w:rFonts w:ascii="Consolas" w:cs="Consolas" w:eastAsia="Consolas" w:hAnsi="Consolas"/>
          <w:sz w:val="18"/>
          <w:szCs w:val="18"/>
        </w:rPr>
        <w:t xml:space="preserve">├── tests/                    (122 tests across 12 files)</w:t>
      </w:r>
    </w:p>
    <w:p>
      <w:pPr>
        <w:shd w:fill="F2F2F2" w:color="auto" w:val="clear"/>
        <w:spacing w:after="0" w:line="240"/>
      </w:pPr>
      <w:r>
        <w:rPr>
          <w:rFonts w:ascii="Consolas" w:cs="Consolas" w:eastAsia="Consolas" w:hAnsi="Consolas"/>
          <w:sz w:val="18"/>
          <w:szCs w:val="18"/>
        </w:rPr>
        <w:t xml:space="preserve">├── slurm/jobs_tc1/           (generated sbatch files)</w:t>
      </w:r>
    </w:p>
    <w:p>
      <w:pPr>
        <w:shd w:fill="F2F2F2" w:color="auto" w:val="clear"/>
        <w:spacing w:after="0" w:line="240"/>
      </w:pPr>
      <w:r>
        <w:rPr>
          <w:rFonts w:ascii="Consolas" w:cs="Consolas" w:eastAsia="Consolas" w:hAnsi="Consolas"/>
          <w:sz w:val="18"/>
          <w:szCs w:val="18"/>
        </w:rPr>
        <w:t xml:space="preserve">├── results/                  (raw.jsonl, summary.json, analysis outputs)</w:t>
      </w:r>
    </w:p>
    <w:p>
      <w:pPr>
        <w:shd w:fill="F2F2F2" w:color="auto" w:val="clear"/>
        <w:spacing w:after="0" w:line="240"/>
      </w:pPr>
      <w:r>
        <w:rPr>
          <w:rFonts w:ascii="Consolas" w:cs="Consolas" w:eastAsia="Consolas" w:hAnsi="Consolas"/>
          <w:sz w:val="18"/>
          <w:szCs w:val="18"/>
        </w:rPr>
        <w:t xml:space="preserve">└── docs/</w:t>
      </w:r>
    </w:p>
    <w:p>
      <w:pPr>
        <w:shd w:fill="F2F2F2" w:color="auto" w:val="clear"/>
        <w:spacing w:after="0" w:line="240"/>
      </w:pPr>
      <w:r>
        <w:rPr>
          <w:rFonts w:ascii="Consolas" w:cs="Consolas" w:eastAsia="Consolas" w:hAnsi="Consolas"/>
          <w:sz w:val="18"/>
          <w:szCs w:val="18"/>
        </w:rPr>
        <w:t xml:space="preserve">    ├── methodology.md</w:t>
      </w:r>
    </w:p>
    <w:p>
      <w:pPr>
        <w:shd w:fill="F2F2F2" w:color="auto" w:val="clear"/>
        <w:spacing w:after="0" w:line="240"/>
      </w:pPr>
      <w:r>
        <w:rPr>
          <w:rFonts w:ascii="Consolas" w:cs="Consolas" w:eastAsia="Consolas" w:hAnsi="Consolas"/>
          <w:sz w:val="18"/>
          <w:szCs w:val="18"/>
        </w:rPr>
        <w:t xml:space="preserve">    ├── evaluation_metrics.md</w:t>
      </w:r>
    </w:p>
    <w:p>
      <w:pPr>
        <w:shd w:fill="F2F2F2" w:color="auto" w:val="clear"/>
        <w:spacing w:after="0" w:line="240"/>
      </w:pPr>
      <w:r>
        <w:rPr>
          <w:rFonts w:ascii="Consolas" w:cs="Consolas" w:eastAsia="Consolas" w:hAnsi="Consolas"/>
          <w:sz w:val="18"/>
          <w:szCs w:val="18"/>
        </w:rPr>
        <w:t xml:space="preserve">    ├── datasets.md</w:t>
      </w:r>
    </w:p>
    <w:p>
      <w:pPr>
        <w:shd w:fill="F2F2F2" w:color="auto" w:val="clear"/>
        <w:spacing w:after="0" w:line="240"/>
      </w:pPr>
      <w:r>
        <w:rPr>
          <w:rFonts w:ascii="Consolas" w:cs="Consolas" w:eastAsia="Consolas" w:hAnsi="Consolas"/>
          <w:sz w:val="18"/>
          <w:szCs w:val="18"/>
        </w:rPr>
        <w:t xml:space="preserve">    ├── limitations.md</w:t>
      </w:r>
    </w:p>
    <w:p>
      <w:pPr>
        <w:shd w:fill="F2F2F2" w:color="auto" w:val="clear"/>
        <w:spacing w:after="0" w:line="240"/>
      </w:pPr>
      <w:r>
        <w:rPr>
          <w:rFonts w:ascii="Consolas" w:cs="Consolas" w:eastAsia="Consolas" w:hAnsi="Consolas"/>
          <w:sz w:val="18"/>
          <w:szCs w:val="18"/>
        </w:rPr>
        <w:t xml:space="preserve">    ├── extensibility.md</w:t>
      </w:r>
    </w:p>
    <w:p>
      <w:pPr>
        <w:shd w:fill="F2F2F2" w:color="auto" w:val="clear"/>
        <w:spacing w:after="0" w:line="240"/>
      </w:pPr>
      <w:r>
        <w:rPr>
          <w:rFonts w:ascii="Consolas" w:cs="Consolas" w:eastAsia="Consolas" w:hAnsi="Consolas"/>
          <w:sz w:val="18"/>
          <w:szCs w:val="18"/>
        </w:rPr>
        <w:t xml:space="preserve">    ├── TC1_CLUSTER_RUNBOOK.md</w:t>
      </w:r>
    </w:p>
    <w:p>
      <w:pPr>
        <w:shd w:fill="F2F2F2" w:color="auto" w:val="clear"/>
        <w:spacing w:after="0" w:line="240"/>
      </w:pPr>
      <w:r>
        <w:rPr>
          <w:rFonts w:ascii="Consolas" w:cs="Consolas" w:eastAsia="Consolas" w:hAnsi="Consolas"/>
          <w:sz w:val="18"/>
          <w:szCs w:val="18"/>
        </w:rPr>
        <w:t xml:space="preserve">    └── FYP_Report_2026-05-23.docx   (this document)</w:t>
      </w:r>
    </w:p>
    <w:p>
      <w:pPr>
        <w:pStyle w:val="Heading1"/>
        <w:pageBreakBefore/>
        <w:spacing w:after="200" w:before="360"/>
      </w:pPr>
      <w:r>
        <w:rPr>
          <w:rFonts w:ascii="Calibri" w:cs="Calibri" w:eastAsia="Calibri" w:hAnsi="Calibri"/>
          <w:b/>
          <w:bCs/>
          <w:sz w:val="32"/>
          <w:szCs w:val="32"/>
        </w:rPr>
        <w:t xml:space="preserve">Appendix F — Glossary</w:t>
      </w:r>
    </w:p>
    <w:tbl>
      <w:tblPr>
        <w:tblW w:type="dxa" w:w="9360"/>
        <w:tblBorders>
          <w:top w:val="single" w:color="999999" w:sz="4"/>
          <w:left w:val="single" w:color="999999" w:sz="4"/>
          <w:bottom w:val="single" w:color="999999" w:sz="4"/>
          <w:right w:val="single" w:color="999999" w:sz="4"/>
          <w:insideH w:val="single" w:color="999999" w:sz="4"/>
          <w:insideV w:val="single" w:color="999999" w:sz="4"/>
        </w:tblBorders>
      </w:tblPr>
      <w:tblGrid>
        <w:gridCol w:w="3200"/>
        <w:gridCol w:w="6160"/>
      </w:tblGrid>
      <w:tr>
        <w:trPr>
          <w:tblHeader/>
        </w:trPr>
        <w:tc>
          <w:tcPr>
            <w:tcW w:type="dxa" w:w="32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Term</w:t>
            </w:r>
          </w:p>
        </w:tc>
        <w:tc>
          <w:tcPr>
            <w:tcW w:type="dxa" w:w="616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Definition</w:t>
            </w:r>
          </w:p>
        </w:tc>
      </w:tr>
      <w:tr>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AdvBench</w:t>
            </w:r>
          </w:p>
        </w:tc>
        <w:tc>
          <w:tcPr>
            <w:tcW w:type="dxa" w:w="6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Adversarial-prompt benchmark used in safety research.</w:t>
            </w:r>
          </w:p>
        </w:tc>
      </w:tr>
      <w:tr>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ASR (Attack Success Rate)</w:t>
            </w:r>
          </w:p>
        </w:tc>
        <w:tc>
          <w:tcPr>
            <w:tcW w:type="dxa" w:w="6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Fraction of unsafe prompts that produce a harmful, complying response.</w:t>
            </w:r>
          </w:p>
        </w:tc>
      </w:tr>
      <w:tr>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BF16 / bfloat16</w:t>
            </w:r>
          </w:p>
        </w:tc>
        <w:tc>
          <w:tcPr>
            <w:tcW w:type="dxa" w:w="6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16-bit Brain Floating Point format; preserves dynamic range close to FP32 with reduced precision.</w:t>
            </w:r>
          </w:p>
        </w:tc>
      </w:tr>
      <w:tr>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BNB / BitsAndBytes</w:t>
            </w:r>
          </w:p>
        </w:tc>
        <w:tc>
          <w:tcPr>
            <w:tcW w:type="dxa" w:w="6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Library providing the NF4 four-bit quantization integration used by Hugging Face transformers.</w:t>
            </w:r>
          </w:p>
        </w:tc>
      </w:tr>
      <w:tr>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FP16 / float16</w:t>
            </w:r>
          </w:p>
        </w:tc>
        <w:tc>
          <w:tcPr>
            <w:tcW w:type="dxa" w:w="6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16-bit IEEE half-precision floating point format; default for CUDA when dtype=auto.</w:t>
            </w:r>
          </w:p>
        </w:tc>
      </w:tr>
      <w:tr>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GPTQ / AWQ / GGUF</w:t>
            </w:r>
          </w:p>
        </w:tc>
        <w:tc>
          <w:tcPr>
            <w:tcW w:type="dxa" w:w="6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Alternative post-training quantization methods (out of scope for this study).</w:t>
            </w:r>
          </w:p>
        </w:tc>
      </w:tr>
      <w:tr>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HarmBench</w:t>
            </w:r>
          </w:p>
        </w:tc>
        <w:tc>
          <w:tcPr>
            <w:tcW w:type="dxa" w:w="6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Standardised benchmark for harmful-compliance evaluation.</w:t>
            </w:r>
          </w:p>
        </w:tc>
      </w:tr>
      <w:tr>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HF / Hugging Face</w:t>
            </w:r>
          </w:p>
        </w:tc>
        <w:tc>
          <w:tcPr>
            <w:tcW w:type="dxa" w:w="6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Open-source ML platform hosting model checkpoints and datasets.</w:t>
            </w:r>
          </w:p>
        </w:tc>
      </w:tr>
      <w:tr>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MMLU</w:t>
            </w:r>
          </w:p>
        </w:tc>
        <w:tc>
          <w:tcPr>
            <w:tcW w:type="dxa" w:w="6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Massive Multitask Language Understanding benchmark; capability anchor in this study.</w:t>
            </w:r>
          </w:p>
        </w:tc>
      </w:tr>
      <w:tr>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NF4</w:t>
            </w:r>
          </w:p>
        </w:tc>
        <w:tc>
          <w:tcPr>
            <w:tcW w:type="dxa" w:w="6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4-bit Normalised Float quantization scheme introduced in the QLoRA paper.</w:t>
            </w:r>
          </w:p>
        </w:tc>
      </w:tr>
      <w:tr>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PTQ (Post-Training Quantization)</w:t>
            </w:r>
          </w:p>
        </w:tc>
        <w:tc>
          <w:tcPr>
            <w:tcW w:type="dxa" w:w="6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Quantization applied to an already-trained model without further fine-tuning.</w:t>
            </w:r>
          </w:p>
        </w:tc>
      </w:tr>
      <w:tr>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QoS (Quality of Service)</w:t>
            </w:r>
          </w:p>
        </w:tc>
        <w:tc>
          <w:tcPr>
            <w:tcW w:type="dxa" w:w="6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SLURM scheduling class that determines resource limits and priority.</w:t>
            </w:r>
          </w:p>
        </w:tc>
      </w:tr>
      <w:tr>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SBATCH</w:t>
            </w:r>
          </w:p>
        </w:tc>
        <w:tc>
          <w:tcPr>
            <w:tcW w:type="dxa" w:w="6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SLURM directive prefix used in job script headers.</w:t>
            </w:r>
          </w:p>
        </w:tc>
      </w:tr>
      <w:tr>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SLURM</w:t>
            </w:r>
          </w:p>
        </w:tc>
        <w:tc>
          <w:tcPr>
            <w:tcW w:type="dxa" w:w="6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Workload manager used to schedule jobs on the TC1 cluster.</w:t>
            </w:r>
          </w:p>
        </w:tc>
      </w:tr>
      <w:tr>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TC1</w:t>
            </w:r>
          </w:p>
        </w:tc>
        <w:tc>
          <w:tcPr>
            <w:tcW w:type="dxa" w:w="6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NTU's GPU cluster used to run the experimental matrix.</w:t>
            </w:r>
          </w:p>
        </w:tc>
      </w:tr>
      <w:tr>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Walltime</w:t>
            </w:r>
          </w:p>
        </w:tc>
        <w:tc>
          <w:tcPr>
            <w:tcW w:type="dxa" w:w="6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Real-world elapsed time limit imposed on a SLURM job.</w:t>
            </w:r>
          </w:p>
        </w:tc>
      </w:tr>
      <w:tr>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XSTest</w:t>
            </w:r>
          </w:p>
        </w:tc>
        <w:tc>
          <w:tcPr>
            <w:tcW w:type="dxa" w:w="6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Benchmark for measuring over-refusal on benign-but-suspicious prompts.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8"/>
        <w:szCs w:val="18"/>
      </w:rPr>
      <w:t xml:space="preserve">Page </w:t>
    </w:r>
    <w:r>
      <w:rPr>
        <w:rFonts w:ascii="Calibri" w:cs="Calibri" w:eastAsia="Calibri" w:hAnsi="Calibri"/>
        <w:sz w:val="18"/>
        <w:szCs w:val="18"/>
      </w:rPr>
      <w:fldChar w:fldCharType="begin"/>
      <w:instrText xml:space="preserve">PAGE</w:instrText>
      <w:fldChar w:fldCharType="separate"/>
      <w:fldChar w:fldCharType="end"/>
    </w:r>
    <w:r>
      <w:rPr>
        <w:rFonts w:ascii="Calibri" w:cs="Calibri" w:eastAsia="Calibri" w:hAnsi="Calibri"/>
        <w:sz w:val="18"/>
        <w:szCs w:val="18"/>
      </w:rPr>
      <w:t xml:space="preserve"> of </w:t>
    </w:r>
    <w:r>
      <w:rPr>
        <w:rFonts w:ascii="Calibri" w:cs="Calibri" w:eastAsia="Calibri" w:hAnsi="Calibri"/>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666666"/>
        <w:sz w:val="18"/>
        <w:szCs w:val="18"/>
      </w:rPr>
      <w:t xml:space="preserve">CCDS25-1136 — FYP Interim Report — TAN UEI HORNG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sz w:val="32"/>
      <w:szCs w:val="32"/>
    </w:rPr>
  </w:style>
  <w:style w:type="paragraph" w:styleId="Heading2">
    <w:name w:val="Heading 2"/>
    <w:basedOn w:val="Normal"/>
    <w:next w:val="Normal"/>
    <w:qFormat/>
    <w:pPr>
      <w:spacing w:after="140" w:before="280"/>
      <w:outlineLvl w:val="1"/>
    </w:pPr>
    <w:rPr>
      <w:rFonts w:ascii="Calibri" w:cs="Calibri" w:eastAsia="Calibri" w:hAnsi="Calibri"/>
      <w:b/>
      <w:bCs/>
      <w:sz w:val="26"/>
      <w:szCs w:val="26"/>
    </w:rPr>
  </w:style>
  <w:style w:type="paragraph" w:styleId="Heading3">
    <w:name w:val="Heading 3"/>
    <w:basedOn w:val="Normal"/>
    <w:next w:val="Normal"/>
    <w:qFormat/>
    <w:pPr>
      <w:spacing w:after="120" w:before="220"/>
      <w:outlineLvl w:val="2"/>
    </w:pPr>
    <w:rPr>
      <w:rFonts w:ascii="Calibri" w:cs="Calibri" w:eastAsia="Calibri" w:hAnsi="Calibri"/>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FYP Interim Report — Benchmarking Ethical Performance of Open-Source LLMs (CCDS25-1136)</dc:title>
  <dc:creator>TAN UEI HORNG</dc:creator>
  <cp:lastModifiedBy>Un-named</cp:lastModifiedBy>
  <cp:revision>1</cp:revision>
  <dcterms:created xsi:type="dcterms:W3CDTF">2026-05-23T10:13:27.731Z</dcterms:created>
  <dcterms:modified xsi:type="dcterms:W3CDTF">2026-05-23T10:13:27.738Z</dcterms:modified>
</cp:coreProperties>
</file>

<file path=docProps/custom.xml><?xml version="1.0" encoding="utf-8"?>
<Properties xmlns="http://schemas.openxmlformats.org/officeDocument/2006/custom-properties" xmlns:vt="http://schemas.openxmlformats.org/officeDocument/2006/docPropsVTypes"/>
</file>