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is consistent with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Study design: matched pairs, the precision arm, the benchmark battery, and the inference pipeline.</w:t>
      </w:r>
    </w:p>
    <w:p>
      <w:pPr>
        <w:spacing w:after="60" w:line="360"/>
      </w:pPr>
      <w:r>
        <w:rPr>
          <w:rFonts w:ascii="Times New Roman" w:cs="Times New Roman" w:eastAsia="Times New Roman" w:hAnsi="Times New Roman"/>
          <w:sz w:val="22"/>
          <w:szCs w:val="22"/>
        </w:rPr>
        <w:t xml:space="preserve">Figure 2  System architecture: configuration, execution, benchmark plugins, scoring, and analysis.</w:t>
      </w:r>
    </w:p>
    <w:p>
      <w:pPr>
        <w:spacing w:after="60" w:line="360"/>
      </w:pPr>
      <w:r>
        <w:rPr>
          <w:rFonts w:ascii="Times New Roman" w:cs="Times New Roman" w:eastAsia="Times New Roman" w:hAnsi="Times New Roman"/>
          <w:sz w:val="22"/>
          <w:szCs w:val="22"/>
        </w:rPr>
        <w:t xml:space="preserve">Figure 3  TC1 execution model: workstation, head node, GPU compute node, and the return path.</w:t>
      </w:r>
    </w:p>
    <w:p>
      <w:pPr>
        <w:spacing w:after="60" w:line="360"/>
      </w:pPr>
      <w:r>
        <w:rPr>
          <w:rFonts w:ascii="Times New Roman" w:cs="Times New Roman" w:eastAsia="Times New Roman" w:hAnsi="Times New Roman"/>
          <w:sz w:val="22"/>
          <w:szCs w:val="22"/>
        </w:rPr>
        <w:t xml:space="preserve">Figure 4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5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6  Multi-seed decoding sensitivity for Qwen3-1.7B (greedy vs stochastic).</w:t>
      </w:r>
    </w:p>
    <w:p>
      <w:pPr>
        <w:spacing w:after="60" w:line="360"/>
      </w:pPr>
      <w:r>
        <w:rPr>
          <w:rFonts w:ascii="Times New Roman" w:cs="Times New Roman" w:eastAsia="Times New Roman" w:hAnsi="Times New Roman"/>
          <w:sz w:val="22"/>
          <w:szCs w:val="22"/>
        </w:rPr>
        <w:t xml:space="preserve">Figure 7  Per-category HarmBench ASR for Qwen3-1.7B, fp16 vs NF4.</w:t>
      </w:r>
    </w:p>
    <w:p>
      <w:pPr>
        <w:spacing w:after="60" w:line="360"/>
      </w:pPr>
      <w:r>
        <w:rPr>
          <w:rFonts w:ascii="Times New Roman" w:cs="Times New Roman" w:eastAsia="Times New Roman" w:hAnsi="Times New Roman"/>
          <w:sz w:val="22"/>
          <w:szCs w:val="22"/>
        </w:rPr>
        <w:t xml:space="preserve">Figure 8  Scorer validation: judge ASR vs regex proxy, and judge-vs-proxy Cohen's κ.</w:t>
      </w:r>
    </w:p>
    <w:p>
      <w:pPr>
        <w:spacing w:after="60" w:line="360"/>
      </w:pPr>
      <w:r>
        <w:rPr>
          <w:rFonts w:ascii="Times New Roman" w:cs="Times New Roman" w:eastAsia="Times New Roman" w:hAnsi="Times New Roman"/>
          <w:sz w:val="22"/>
          <w:szCs w:val="22"/>
        </w:rPr>
        <w:t xml:space="preserve">Figure 9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spacing w:after="60" w:before="160"/>
        <w:jc w:val="center"/>
      </w:pPr>
      <w:r>
        <w:drawing>
          <wp:inline distT="0" distB="0" distL="0" distR="0">
            <wp:extent cx="5334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2957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Study design. Five matched model pairs spanning four families are evaluated at fp16 and NF4 four-bit, with an INT8 precision point as a third level, across four benchmarks. Both members of a pair share the same checkpoint and pinned revision, the same prompts, the same seed and the same decoding settings, so numerical precision is the only difference between them. Every pair-level contrast passes through the same paired-inference pipeline before it is labelled.</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 single 200-behaviour split that does not preserve the official benchmark's validation/test partition, so results are reported over this pooled set rather than the official test partition alone),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 Both the bootstrap and the paired tests treat each benchmark's prompt set as an exchangeable sample of its construct; HarmBench, XSTest, and ARC are fixed curated sets (only the MMLU subset is a seeded random draw), and items cluster by category or subject, so the effective information content is at most the nominal n — any within-cluster correlation would work against the reported nulls, not for them.</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spacing w:after="60" w:before="160"/>
        <w:jc w:val="center"/>
      </w:pPr>
      <w:r>
        <w:drawing>
          <wp:inline distT="0" distB="0" distL="0" distR="0">
            <wp:extent cx="5334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791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System architecture. A YAML configuration is validated by the Pydantic schema into a typed run specification; each model alias is then loaded once and quantization is applied on the fly at load time, so both pair members derive from identical baseline weights. Benchmark plugins share one abstract interface and hand responses to a per-benchmark scorer stack in which the primary and secondary scorers are named explicitly. All artifacts are written before any analysis runs, and raw.jsonl is never modified afterwards.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torch.no_grad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spacing w:after="60" w:before="160"/>
        <w:jc w:val="center"/>
      </w:pPr>
      <w:r>
        <w:drawing>
          <wp:inline distT="0" distB="0" distL="0" distR="0">
            <wp:extent cx="5334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766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Execution model on the TC1 cluster. The head node is restricted to repository synchronisation, dataset and weight pre-caching, and job submission: no user code runs there. All computation runs in offline batch jobs inside the QoS envelope, and every analysis, figure and document build happens off-cluster on the workstation, which needs no GPU.</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[23]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FDR-surviving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 Connor's normal-approximation sample-size treatment of the paired McNemar design [25] —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(One sidedness note: every test in the study is two-sided; under one-sided versions of the directional no-increase null, the two borderline positive contrasts — Qwen-4B ASR, one-sided p ≈ 0.048, and the judge-strict Qwen-1.7B over-refusal, ≈ 0.044 — would cross α = 0.05 individually while remaining far from BH survival, so the corrected headline is sidedness-invariant.)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7.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at nominal, uncorrected significance (ΔARC = −0.016; it does not survive the BH-FDR correction, §6.5.1),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 parser-sensitive, benchmark-dependent result under the primary lenient parser — under the strict parser the scale gap replicates on ARC as well (−0.343 versus −0.017, §6.4.1) — rather than a clean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[26]);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8.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run 2026-06-14 via the OpenAI API; the alias's underlying dated snapshot was not recorded, so the revision-pinned open-weight LlamaGuard cross-check below is the reproducible arm of this validation)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[27], [28].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One implementation detail bounds comparability rather than validity: the classifier is prompted with the Hugging Face model-card (behaviour-only) template rather than the HarmBench GitHub evaluation-harness variant (which adds bracketed section headers and three additional scoring rules), so absolute ASR levels here are not directly comparable to harness-scored numbers in the literature; the matched-pair deltas, scored identically for both members of every pair, are unaffected.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[29])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signed-rank [30] p &lt; 0.001, n = 200) but moves comply-ward for Qwen (Δm = +1.2 for 1.7B, +4.0 for 4B) and refuse-ward for Llama and Phi (−1.1, −0.3), with effect sizes spanning Cohen dz [31] ≈ −0.74 to +1.7;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9.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(exact McNemar tests recomputed from the paired per-item records: ten contrasts, none significant, largest |Δ| 1.3 pp), so within the study's resolution INT8 is capability-lossless. Every significant capability loss appears only at the four-bit step: ΔMMLU(NF4) = −0.090 (Qwen-1.7B); ΔARC(NF4) = −0.016 (Qwen-4B) and −0.032 (Llama-3B). Eight-bit is therefore effectively a free precision point on capability at this resolution (non-significance bounds, not proves, a zero effect),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its effect is matched across the pair by construction;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six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 Sixth, both Qwen3 pairs are evaluated in non-thinking mode (enable_thinking = false, a token-budget necessity at 512 tokens): this is not those models' default operating configuration, and quantization's interaction with thinking-mode generation — through which Qwen3 delivers much of its capability and some of its safety behaviour — is untested here.</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its effect is matched across the pair by construction,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Benchmark contamination unassessed. Whether benchmark items appear in the evaluated models' pretraining data is not measured. Contamination would shift absolute scores, but it applies identically to both members of each pair (same weights, same data history), so the paired deltas — the study's unit of inference — are unaffected; only absolute levels carry this caveat.</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[32])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Times New Roman" w:cs="Times New Roman" w:eastAsia="Times New Roman" w:hAnsi="Times New Roman"/>
          <w:sz w:val="22"/>
          <w:szCs w:val="22"/>
        </w:rPr>
        <w:t xml:space="preserve">R. J. Connor, “Sample size for testing differences in proportions for the paired-sample design,” Biometrics, vol. 43, no. 1, pp. 207–211, 1987.</w:t>
      </w:r>
    </w:p>
    <w:p>
      <w:pPr>
        <w:pStyle w:val="ListParagraph"/>
        <w:numPr>
          <w:ilvl w:val="0"/>
          <w:numId w:val="7"/>
        </w:numPr>
        <w:spacing w:after="80" w:line="280"/>
      </w:pPr>
      <w:r>
        <w:rPr>
          <w:rFonts w:ascii="Times New Roman" w:cs="Times New Roman" w:eastAsia="Times New Roman" w:hAnsi="Times New Roman"/>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e7060e5fa5f34cec2cabd45c3bf23912932979.png"/><Relationship Id="rId10" Type="http://schemas.openxmlformats.org/officeDocument/2006/relationships/image" Target="media/f11558faa395e71edc5794134eb69b587481aca1.png"/><Relationship Id="rId11" Type="http://schemas.openxmlformats.org/officeDocument/2006/relationships/image" Target="media/7132d3f39775e6787f3278c55e3644ccc8aae40f.png"/><Relationship Id="rId12" Type="http://schemas.openxmlformats.org/officeDocument/2006/relationships/image" Target="media/95f586fdc239b6bfd6928d53bbfc4c177cdbb8be.png"/><Relationship Id="rId13" Type="http://schemas.openxmlformats.org/officeDocument/2006/relationships/image" Target="media/cd5dcc8827032c93c15d518c1fc15032529a03f9.png"/><Relationship Id="rId14" Type="http://schemas.openxmlformats.org/officeDocument/2006/relationships/image" Target="media/ff689e2501d3a75c9991fcb54631cb35aed86afa.png"/><Relationship Id="rId15" Type="http://schemas.openxmlformats.org/officeDocument/2006/relationships/image" Target="media/f1a4ebafc5c89200a8d1f13d4b63f7d79a23a665.png"/><Relationship Id="rId16" Type="http://schemas.openxmlformats.org/officeDocument/2006/relationships/image" Target="media/861c1695507340d933a706937cdac3959c8977fa.png"/><Relationship Id="rId17" Type="http://schemas.openxmlformats.org/officeDocument/2006/relationships/image" Target="media/3d9c399833b6b55d7a6ad52d90c39978902107a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2026-08-10T03:54:06.531Z</dcterms:created>
  <dcterms:modified xsi:type="dcterms:W3CDTF">2026-08-10T03:54:06.532Z</dcterms:modified>
</cp:coreProperties>
</file>

<file path=docProps/custom.xml><?xml version="1.0" encoding="utf-8"?>
<Properties xmlns="http://schemas.openxmlformats.org/officeDocument/2006/custom-properties" xmlns:vt="http://schemas.openxmlformats.org/officeDocument/2006/docPropsVTypes"/>
</file>