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60"/>
        <w:jc w:val="center"/>
      </w:pPr>
      <w:r>
        <w:rPr>
          <w:rFonts w:ascii="Times New Roman" w:cs="Times New Roman" w:eastAsia="Times New Roman" w:hAnsi="Times New Roman"/>
          <w:b/>
          <w:bCs/>
          <w:sz w:val="24"/>
          <w:szCs w:val="24"/>
        </w:rPr>
        <w:t xml:space="preserve">FINAL YEAR PROJECT</w:t>
      </w:r>
    </w:p>
    <w:p>
      <w:pPr>
        <w:spacing w:after="480"/>
        <w:jc w:val="center"/>
      </w:pPr>
      <w:r>
        <w:rPr>
          <w:rFonts w:ascii="Times New Roman" w:cs="Times New Roman" w:eastAsia="Times New Roman" w:hAnsi="Times New Roman"/>
          <w:b/>
          <w:bCs/>
          <w:sz w:val="28"/>
          <w:szCs w:val="28"/>
        </w:rPr>
        <w:t xml:space="preserve">Interim Report</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 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Interim Report · 10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artifact-derived claim registry</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276"/>
        <w:jc w:val="both"/>
      </w:pPr>
      <w:r>
        <w:rPr>
          <w:rFonts w:ascii="Times New Roman" w:cs="Times New Roman" w:eastAsia="Times New Roman" w:hAnsi="Times New Roman"/>
          <w:sz w:val="24"/>
          <w:szCs w:val="24"/>
        </w:rPr>
        <w:t xml:space="preserve">I hereby declare that this Final Year Project interim report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interim report (its research design, experimental methodology, analysis, and interpretation) is the product of my own work, although I have received assistance on software implementation, language, and presentation as acknowledged herein.</w:t>
      </w:r>
    </w:p>
    <w:p>
      <w:pPr>
        <w:spacing w:after="160" w:line="276"/>
        <w:jc w:val="both"/>
      </w:pPr>
      <w:r>
        <w:rPr>
          <w:rFonts w:ascii="Times New Roman" w:cs="Times New Roman" w:eastAsia="Times New Roman" w:hAnsi="Times New Roman"/>
          <w:sz w:val="24"/>
          <w:szCs w:val="24"/>
        </w:rPr>
        <w:t xml:space="preserve">All experimental results reported in this interim report were produced by the open-source benchmarking framework described herein, executed on the NTU TC1 GPU cluster, and are reproducible from the committed configuration, source code, and redacted result artefacts. Every reported numerical result is computed by the committed code from the recorded experimental records; no result has been altered, fabricated, or selectively reported.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276"/>
        <w:jc w:val="left"/>
      </w:pPr>
      <w:r>
        <w:rPr>
          <w:rFonts w:ascii="Times New Roman" w:cs="Times New Roman" w:eastAsia="Times New Roman" w:hAnsi="Times New Roman"/>
          <w:sz w:val="24"/>
          <w:szCs w:val="24"/>
        </w:rPr>
        <w:t xml:space="preserve">Tan Uei Horng  (UTAN001)</w:t>
      </w:r>
    </w:p>
    <w:p>
      <w:pPr>
        <w:spacing w:after="30" w:line="276"/>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276"/>
        <w:jc w:val="left"/>
      </w:pPr>
      <w:r>
        <w:rPr>
          <w:rFonts w:ascii="Times New Roman" w:cs="Times New Roman" w:eastAsia="Times New Roman" w:hAnsi="Times New Roman"/>
          <w:sz w:val="24"/>
          <w:szCs w:val="24"/>
        </w:rPr>
        <w:t xml:space="preserve">Date:  10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276"/>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interim report asks whether the safety changes attributed to quantization are genuine alignment shifts or artefacts of capability loss, invalid scoring, or truncated generation.</w:t>
      </w:r>
    </w:p>
    <w:p>
      <w:pPr>
        <w:spacing w:after="160" w:line="276"/>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276"/>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this manufactured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no pair shows a significant increase in harmful compliance under four-bit NF4: not one HarmBench contrast survives a Benjamini-Hochberg correction, the only individually significant delta is a decrease (Llama-3.2-3B, −0.040), and the effects that do survive multiplicity correction are capability losses and one benign-direction over-refusal change. Third, the three-precision sweep shows capability loss is a clean cliff at four-bit (INT8 is essentially free), and the one INT8-specific safety increase seen at 128 tokens likewise vanishes at the reference budget. The overall picture is a rigorous, power-bounded null on the safety axis under direct requests, with capability degradation as the robust, budget-invariant cost of four-bit quantization.</w:t>
      </w:r>
    </w:p>
    <w:p>
      <w:pPr>
        <w:spacing w:after="160" w:line="276"/>
        <w:jc w:val="both"/>
      </w:pPr>
      <w:r>
        <w:rPr>
          <w:rFonts w:ascii="Times New Roman" w:cs="Times New Roman" w:eastAsia="Times New Roman" w:hAnsi="Times New Roman"/>
          <w:sz w:val="24"/>
          <w:szCs w:val="24"/>
        </w:rPr>
        <w:t xml:space="preserve">Status of this interim report. This report presents the project's completed methodology, system, experimental setup, and results, together with the corrections and re-runs made along the way (a scorer-validity correction and a generation-budget re-run, both documented in Chapter 6) and an explicit statement of remaining work. All experiments across the five matched pairs, three precisions, and four benchmarks are complete, as are the two-judge cross-check and a single-annotator human-label validation of the primary scorer; the outstanding items are a second human annotator for an inter-rater agreement figure and the final thesis write-up. The full-length treatment of every result arm is deferred to the final thesis; this interim report presents each at headline depth.</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276"/>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276"/>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276"/>
        <w:jc w:val="left"/>
      </w:pPr>
      <w:r>
        <w:rPr>
          <w:rFonts w:ascii="Times New Roman" w:cs="Times New Roman" w:eastAsia="Times New Roman" w:hAnsi="Times New Roman"/>
          <w:sz w:val="24"/>
          <w:szCs w:val="24"/>
        </w:rPr>
        <w:t xml:space="preserve">Table 3.1  Model pairs, families, and parameter scales.</w:t>
      </w:r>
    </w:p>
    <w:p>
      <w:pPr>
        <w:spacing w:after="60" w:line="276"/>
        <w:jc w:val="left"/>
      </w:pPr>
      <w:r>
        <w:rPr>
          <w:rFonts w:ascii="Times New Roman" w:cs="Times New Roman" w:eastAsia="Times New Roman" w:hAnsi="Times New Roman"/>
          <w:sz w:val="24"/>
          <w:szCs w:val="24"/>
        </w:rPr>
        <w:t xml:space="preserve">Table 3.2  Benchmarks, primary metrics, and sample budgets.</w:t>
      </w:r>
    </w:p>
    <w:p>
      <w:pPr>
        <w:spacing w:after="60" w:line="276"/>
        <w:jc w:val="left"/>
      </w:pPr>
      <w:r>
        <w:rPr>
          <w:rFonts w:ascii="Times New Roman" w:cs="Times New Roman" w:eastAsia="Times New Roman" w:hAnsi="Times New Roman"/>
          <w:sz w:val="24"/>
          <w:szCs w:val="24"/>
        </w:rPr>
        <w:t xml:space="preserve">Table 3.3  Interpretation labels derived from combined deltas.</w:t>
      </w:r>
    </w:p>
    <w:p>
      <w:pPr>
        <w:spacing w:after="60" w:line="276"/>
        <w:jc w:val="left"/>
      </w:pPr>
      <w:r>
        <w:rPr>
          <w:rFonts w:ascii="Times New Roman" w:cs="Times New Roman" w:eastAsia="Times New Roman" w:hAnsi="Times New Roman"/>
          <w:sz w:val="24"/>
          <w:szCs w:val="24"/>
        </w:rPr>
        <w:t xml:space="preserve">Table 5.1  Experimental configuration summary.</w:t>
      </w:r>
    </w:p>
    <w:p>
      <w:pPr>
        <w:spacing w:after="60" w:line="276"/>
        <w:jc w:val="left"/>
      </w:pPr>
      <w:r>
        <w:rPr>
          <w:rFonts w:ascii="Times New Roman" w:cs="Times New Roman" w:eastAsia="Times New Roman" w:hAnsi="Times New Roman"/>
          <w:sz w:val="24"/>
          <w:szCs w:val="24"/>
        </w:rPr>
        <w:t xml:space="preserve">Table 6.1  Judge-versus-regex agreement (Cohen's κ) by model family.</w:t>
      </w:r>
    </w:p>
    <w:p>
      <w:pPr>
        <w:spacing w:after="60" w:line="276"/>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276"/>
        <w:jc w:val="left"/>
      </w:pPr>
      <w:r>
        <w:rPr>
          <w:rFonts w:ascii="Times New Roman" w:cs="Times New Roman" w:eastAsia="Times New Roman" w:hAnsi="Times New Roman"/>
          <w:sz w:val="24"/>
          <w:szCs w:val="24"/>
        </w:rPr>
        <w:t xml:space="preserve">Table 6.3  Precision sweep: HarmBench ASR at fp16 / INT8 / NF4 (judge).</w:t>
      </w:r>
    </w:p>
    <w:p>
      <w:pPr>
        <w:spacing w:after="60" w:line="276"/>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276"/>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276"/>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276"/>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276"/>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276"/>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276"/>
        <w:jc w:val="both"/>
      </w:pPr>
      <w:r>
        <w:rPr>
          <w:rFonts w:ascii="Times New Roman" w:cs="Times New Roman" w:eastAsia="Times New Roman" w:hAnsi="Times New Roman"/>
          <w:sz w:val="24"/>
          <w:szCs w:val="24"/>
        </w:rPr>
        <w:t xml:space="preserve">This interim report is organised around five research questions:</w:t>
      </w:r>
    </w:p>
    <w:p>
      <w:pPr>
        <w:pStyle w:val="ListParagraph"/>
        <w:numPr>
          <w:ilvl w:val="0"/>
          <w:numId w:val="2"/>
        </w:numPr>
        <w:spacing w:after="80" w:line="276"/>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276"/>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276"/>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276"/>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276"/>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276"/>
        <w:jc w:val="both"/>
      </w:pPr>
      <w:r>
        <w:rPr>
          <w:rFonts w:ascii="Times New Roman" w:cs="Times New Roman" w:eastAsia="Times New Roman" w:hAnsi="Times New Roman"/>
          <w:sz w:val="24"/>
          <w:szCs w:val="24"/>
        </w:rPr>
        <w:t xml:space="preserve">This interim report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Report structure</w:t>
      </w:r>
    </w:p>
    <w:p>
      <w:pPr>
        <w:spacing w:after="160" w:line="276"/>
        <w:jc w:val="both"/>
      </w:pPr>
      <w:r>
        <w:rPr>
          <w:rFonts w:ascii="Times New Roman" w:cs="Times New Roman" w:eastAsia="Times New Roman" w:hAnsi="Times New Roman"/>
          <w:sz w:val="24"/>
          <w:szCs w:val="24"/>
        </w:rPr>
        <w:t xml:space="preserve">Chapter 2 surveys related work and isolates the gap. Chapter 3 details the methodology; Chapter 4 the system design; and Chapter 5 the experimental setup. Chapter 6 presents the results at headline depth, including the two corrections made during the project, a scorer-validity correction and a generation-budget re-run, as worked examples of the methodology catching its own artefacts. Chapter 7 discusses threats to validity and Chapter 8 records limitations. Chapter 9 summarises progress to date and the remaining work toward the final thesis,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276"/>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report's own result, a broad trustworthiness study across several compression methods and trust dimensions finds that four-bit quantization broadly preserves trust, where pruning erodes it and clear degradation appears only at a more extreme three bits [8]; that study covers larger models and a different trust taxonomy, but it is the nearest prior analogue to the null-safety-at-four-bit picture found here.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276"/>
        <w:jc w:val="both"/>
      </w:pPr>
      <w:r>
        <w:rPr>
          <w:rFonts w:ascii="Times New Roman" w:cs="Times New Roman" w:eastAsia="Times New Roman" w:hAnsi="Times New Roman"/>
          <w:sz w:val="24"/>
          <w:szCs w:val="24"/>
        </w:rPr>
        <w:t xml:space="preserve">HarmBench [3] provides a standardised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interim report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276"/>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interim report follows that guidance (a primary classifier, a second independent judge, κ reporting, bootstrap confidence intervals) and adds a human-label validation on a stratified 200-item subset,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276"/>
        <w:jc w:val="both"/>
      </w:pPr>
      <w:r>
        <w:rPr>
          <w:rFonts w:ascii="Times New Roman" w:cs="Times New Roman" w:eastAsia="Times New Roman" w:hAnsi="Times New Roman"/>
          <w:sz w:val="24"/>
          <w:szCs w:val="24"/>
        </w:rPr>
        <w:t xml:space="preserve">Three observations define the gap this interim report addresses. First, the quantization, safety literature reports inconsistent, method- and model-dependent effects [4], [5],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 judge literature cautions that their reliability must itself be evaluated rather than assumed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276"/>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interim report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276"/>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276"/>
        <w:jc w:val="both"/>
      </w:pPr>
      <w:r>
        <w:rPr>
          <w:rFonts w:ascii="Times New Roman" w:cs="Times New Roman" w:eastAsia="Times New Roman" w:hAnsi="Times New Roman"/>
          <w:sz w:val="24"/>
          <w:szCs w:val="24"/>
        </w:rPr>
        <w:t xml:space="preserve">Table 3.1 lists the five pairs. They span four families and roughly 1.7 to 7.2 billion parameters, which gives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276"/>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276"/>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276"/>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interim report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276"/>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[11], [12]. A deterministic refusal regex is retained only as a secondary, transparent proxy. This choice is itself a research object: this report measures the agreement between scorers and shows that the regex over-counts, which is why it is demoted. MMLU and ARC use deterministic exact match; XSTest over-refusal is scored by the regex, since the official HarmBench classifier judges harmful compliance only. XSTest's own native evaluation relies on LLM-based three-way labelling (full compliance, partial refusal, full refusal) rather than a released fine-tuned classifier; retaining a deterministic binary refusal regex here is a deliberate, reproducibility-motivated deviation that yields a coarser refusal-versus-non-refusal construct, acknowledged as a weaker-construct limitation in Chapter 8.</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276"/>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276"/>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Every HarmBench contrast is tested with McNemar's exact paired test [16]; significance is reported both uncorrected and under a Benjamini-Hochberg false-discovery-rate correction [17] over the twenty-contrast primary family; a power analysis reports the minimum detectable effect (about 0.04 to 0.09 per pair at n = 200); and a multi-seed sensitivity arm (temperature 0.7, five seeds, all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276"/>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276"/>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276"/>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the automated test suite and an artifact-derived machine claim registry cover the schema, loaders, scorers, analysis mathematics, cluster job generator, and every registered document surface.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276"/>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276"/>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Third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Llama-Guard-3-8B (open-weight, revision-pinned)</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automated test suite + artifact-derived claim registry</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276"/>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locally against an API.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276"/>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[18] between the regex and the classifier at the 512-token reference budget is fair-to-moderate for the Qwen and Mistral models and substantial or better for Llama and Phi (verbal bands per Landis and Koch [19]) (Table 6.1), because models that produce a large volume of ambiguous, non-refusing-but-benign text are exactly those the regex mis-scores. In aggregate the classifier's harmful set is a near-strict subset of the regex's (28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(slight), against the human's 200 labels the regex over-flagged 101 responses as harmful to the classifier's 18, and the human, flagging 37, applied the highest bar of the three, so refusal-counting over-states harmful compliance relative to human judgment, not merely relative to the classifier; the classifier is a better scorer, though at moderate agreement, not a perfect human proxy. In safety evaluation the choice of scorer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to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fair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to 0.29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fair, the lowest;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to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substantial to almost perfect;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to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substantial;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276"/>
        <w:jc w:val="both"/>
      </w:pPr>
      <w:r>
        <w:rPr>
          <w:rFonts w:ascii="Times New Roman" w:cs="Times New Roman" w:eastAsia="Times New Roman" w:hAnsi="Times New Roman"/>
          <w:sz w:val="24"/>
          <w:szCs w:val="24"/>
        </w:rPr>
        <w:t xml:space="preserve">Under the primary classifier at the 512-token reference budget, no pair shows a significant increase in harmful compliance under NF4 quantization.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160" w:line="276"/>
        <w:jc w:val="both"/>
      </w:pPr>
      <w:r>
        <w:rPr>
          <w:rFonts w:ascii="Times New Roman" w:cs="Times New Roman" w:eastAsia="Times New Roman" w:hAnsi="Times New Roman"/>
          <w:sz w:val="24"/>
          <w:szCs w:val="24"/>
        </w:rPr>
        <w:t xml:space="preserve">Exactly 3 primary contrasts survive BH-FDR: Qwen3-1.7B MMLU (−0.090, q = 0.008), Llama-3.2-3B ARC (−0.032, q = 0.008), Phi-4-mini over-refusal (−0.048, q = 0.012). No HarmBench ASR contrast survives.</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276"/>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−0.048, CI [−0.076, −0.020]), and Qwen3-1.7B shows a non-significant decrease (−0.024, CI [−0.048, 0.000], McNemar p = 0.109). That Phi-4-mini decrease is regex-scored and scorer-dependent: an independent three-way refusal judge does not reproduce it, and a completed blinded human audit now weights that judge over the regex, so the decrease is most plausibly a regex measurement artifact (§6.7). No pair becomes significantly more prone to over-refusal on benign prompts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276"/>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 to 98.0 percent for Mistral, 3.0 to 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rather than glossed). The arm has since been extended to all five pairs and corroborates the null in each: no pair shows a sign-consistent majority of individually significant seeds (Qwen3-4B mean +0.029, 1 of 5 seeds significant; Llama −0.024, 2 of 5, both decreases; Mistral +0.012, 0 of 5; Phi −0.012, 1 of 5), and the greedy estimate sits inside the seed range for the three original pairs while falling marginally outside it with a sign flip for Mistral (greedy −0.020) and Phi (greedy +0.020), small, zero-straddling, sign-unstable gaps (at most 0.04) rather than a stochastic effect the greedy run missed, and one Phi seed is itself individually significant at −0.055 (McNemar p = 0.043, a decrease and 1 of 5, so it does not lift the pair-level reading).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276"/>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the dramatic within-Qwen scale gap is partly MMLU-specific. Part of that MMLU gap is a scoring artefact rather than lost knowledge: the option-letter parser falls back to a lenient 'first in-range capital letter anywhere' scan when a response neither leads with the option letter nor states an explicit 'answer is X', and this fallback fires on 48.7 percent of qwen_2b_4bit MMLU items against only 3.3 percent for its fp16 twin, scoring them far less reliably (46 percent accuracy on that pair versus the leading-letter rule's 75 percent). Part of the −0.090 gap therefore reflects a shift in answer format that the lenient parser scores poorly, not only a loss of underlying knowledge, and that ARC moves in the same negative direction under an identical, asymmetry-free protocol corroborates the direction of the loss while indicating its MMLU magnitude is partly parser-inflated. The capability anchor is what allows the safety deltas to be read correctly: the smallest Qwen pair is a capability story with a flat harm axis, and Llama's harm decrease arrives together with its capability loss, which is why it is labelled capability collapse masquerading as safety rather than alignment improvement. The label encodes the correlation between the two axes; it does not by itself establish that the capability loss caused the safety change.</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276"/>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[20].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which reinforces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276"/>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significant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attributable, since Llama truncates at only 3 to 4 percent (§6.3), to cross-run greedy divergence on thin-margin prompts rather than to truncation,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276"/>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for a representative pair (the per-pair values span 0.04 to 0.09). The predominance of nulls on the safety axis is therefore a power-bounded null ("no detectable change at n = 200"), not a proven zero, and the multi-seed sign-consistency for the smallest pair (§6.3) is compatible with a real effect below that floor.</w:t>
      </w:r>
    </w:p>
    <w:p>
      <w:pPr>
        <w:spacing w:after="160" w:line="276"/>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(−0.048, q = 0.012, a decrease). Not one HarmBench ASR contrast survives, including Llama's individually significant decrease. The multiplicity-robust signal of four-bit NF4 is therefore capability degradation, plus one benign-direction over-refusal change, and never a safety regression. That one over-refusal survivor, Phi-4-mini's −0.048, is regex-scored, so it inherits the same weaker-construct status as the demoted proxy and should be read as a reproducible non-refusal-rate decrease rather than a classifier-validated over-refusal shift. This is the study's headline empirical claim. A validation-informed parallel correction, the identical twenty-contrast family with the five over-refusal contrasts scored by the independent judge under its strict mapping and its composition locked in a dated note before computation (docs/VALIDATION_INFORMED_FAMILY_NOTE.md; results_512/analysis/multiple_comparisons_judge_strict.json), leaves two contrasts surviving, both capability effects (Qwen3-1.7B MMLU, q = 0.008; Llama-3B ARC, q = 0.008); it is purely deflationary, and the registered regex-scored family above remains the family of record.</w:t>
      </w:r>
    </w:p>
    <w:p>
      <w:pPr>
        <w:spacing w:after="160" w:line="276"/>
        <w:jc w:val="both"/>
      </w:pPr>
      <w:r>
        <w:rPr>
          <w:rFonts w:ascii="Times New Roman" w:cs="Times New Roman" w:eastAsia="Times New Roman" w:hAnsi="Times New Roman"/>
          <w:sz w:val="24"/>
          <w:szCs w:val="24"/>
        </w:rPr>
        <w:t xml:space="preserve">A refusal-judge sensitivity check bears directly on that one survivor. An independent three-way refusal judge (GPT-4o, XSTest's own full-compliance / partial-refusal / full-refusal labelling) re-scored all 3,750 saved benign responses (no parse failures), with the regex kept as the primary scorer and the twenty-contrast BH-FDR family unchanged, and it does not reproduce the −0.048 decrease: scoring full refusals only, Phi-4-mini's judge ΔOR is +0.016 (CI [−0.028, +0.060], McNemar p = 0.597), the opposite direction, and counting partial or full refusals it is −0.004 (CI [−0.048, +0.036], p = 1.000). The two scorers disagree substantially, the judge flags about four times more refusals (mean over-refusal 0.171 against the regex's 0.044) and per-alias Cohen's κ runs from −0.01 to 0.50, and no pair shows a significant judge ΔOR, which agrees with the RQ2 null but with a direction and magnitude that differ from the regex, most sharply for this survivor. The one over-refusal survivor is therefore scorer-dependent, and a completed 200-item blinded human audit (single annotator, disagreement-enriched draw, a mechanical Outcome J carried with one disclosed protocol deviation, pre-registration §8) now resolves the weighting: the judge aligns substantially better with the annotator than the regex on this construct (strict κ 0.485 versus −0.006; the regex recovered only 2 of the annotator's 63 full refusals), so the contrast is carried as most plausibly a measurement artifact of the regex scorer, with the regex retained as the original pre-specified scorer-of-record and a second annotator the residual strengthening (results_512/analysis/xstest_judge_agreement.json; results_512/analysis/xstest_human_validation.json; results_512/analysis/xstest_human_validation_items.jsonl, IDs and labels only).</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276"/>
        <w:jc w:val="both"/>
      </w:pPr>
      <w:r>
        <w:rPr>
          <w:rFonts w:ascii="Times New Roman" w:cs="Times New Roman" w:eastAsia="Times New Roman" w:hAnsi="Times New Roman"/>
          <w:sz w:val="24"/>
          <w:szCs w:val="24"/>
        </w:rPr>
        <w:t xml:space="preserve">The results answer the research questions with calibrated, not sweeping, claims. At the reference budget NF4 does not significantly increase harmful compliance under direct requests in any pair (RQ1); no scorer finds a statistically significant over-refusal increase in any pair, and the only exact-test-significant over-refusal change is a regex-scored decrease (RQ2); capability loss is real, modest, partly benchmark-specific, and the only class of effect that robustly survives multiplicity correction, the one over-refusal survivor being scorer-dependent (RQ3); the smallest model is the most capability-sensitive but shows no genuine safety shift once truncation is controlled (RQ4); and the cross-family, cross-precision picture is a consistent power-bounded null on safety with a capability cliff at four-bit (RQ5).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276"/>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276"/>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 to 0.95 across all ten models at the reference budget) shows the finding is not an artefact of one classifier. A stratified human-label audit (200 items, single annotator, HarmBench rubric) now grounds this against truth: the classifier agrees with the human at Cohen's κ 0.59 versus the regex's 0.11, so the primary scorer is closer to human judgment than the demoted regex, not merely to another model. The residual is honestly bounded, κ 0.59 is moderate, not near-perfect, and rests on one annotator, so a second annotator with an inter-rater κ is the remaining strengthening. Over-refusal remains regex-scored, a known weaker construct. A second construct boundary is the threat model: the safety axis measures harmful compliance under direct requests only, with no attack augmentation, so the null does not speak to adversarial settings, whether optimised jailbreak attacks [5] or quantization-targeted poisoning that surfaces only after quantization [7], which is precisely where prior quantization-safety work reports effects.</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276"/>
        <w:jc w:val="both"/>
      </w:pPr>
      <w:r>
        <w:rPr>
          <w:rFonts w:ascii="Times New Roman" w:cs="Times New Roman" w:eastAsia="Times New Roman" w:hAnsi="Times New Roman"/>
          <w:sz w:val="24"/>
          <w:szCs w:val="24"/>
        </w:rPr>
        <w:t xml:space="preserve">External validity is bounded by five pairs, one decoding regime (greedy primary, with a five-pair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0.04 to 0.09 per pair),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276"/>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276"/>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for a representative pair (0.04 to 0.09 across pairs), so effects below that floor cannot be ruled out (the smallest pair's multi-seed sign-consistency is compatible with one).</w:t>
      </w:r>
    </w:p>
    <w:p>
      <w:pPr>
        <w:pStyle w:val="ListParagraph"/>
        <w:numPr>
          <w:ilvl w:val="0"/>
          <w:numId w:val="3"/>
        </w:numPr>
        <w:spacing w:after="80" w:line="276"/>
      </w:pPr>
      <w:r>
        <w:rPr>
          <w:rFonts w:ascii="Times New Roman" w:cs="Times New Roman" w:eastAsia="Times New Roman" w:hAnsi="Times New Roman"/>
          <w:sz w:val="24"/>
          <w:szCs w:val="24"/>
        </w:rPr>
        <w:t xml:space="preserve">Decoding: the primary results condition on a single greedy decode; the multi-seed sensitivity arm now covers all five pairs and corroborates the null, though for Mistral and Phi the greedy estimate falls marginally outside the seed range with a sign flip (small noise around zero).</w:t>
      </w:r>
    </w:p>
    <w:p>
      <w:pPr>
        <w:pStyle w:val="ListParagraph"/>
        <w:numPr>
          <w:ilvl w:val="0"/>
          <w:numId w:val="3"/>
        </w:numPr>
        <w:spacing w:after="80" w:line="276"/>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and the over-refusal axis now carries its own 200-item blinded audit (judge strict κ 0.485 vs regex −0.006); a second annotator for an inter-rater κ remains the strengthening on both axes.</w:t>
      </w:r>
    </w:p>
    <w:p>
      <w:pPr>
        <w:pStyle w:val="ListParagraph"/>
        <w:numPr>
          <w:ilvl w:val="0"/>
          <w:numId w:val="3"/>
        </w:numPr>
        <w:spacing w:after="80" w:line="276"/>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276"/>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 to 4 percent).</w:t>
      </w:r>
    </w:p>
    <w:p>
      <w:pPr>
        <w:pStyle w:val="ListParagraph"/>
        <w:numPr>
          <w:ilvl w:val="0"/>
          <w:numId w:val="3"/>
        </w:numPr>
        <w:spacing w:after="80" w:line="276"/>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276"/>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Progress and Remaining Work</w:t>
      </w:r>
    </w:p>
    <w:p>
      <w:pPr>
        <w:pStyle w:val="Heading2"/>
        <w:spacing w:after="140" w:before="200"/>
      </w:pPr>
      <w:r>
        <w:rPr>
          <w:rFonts w:ascii="Times New Roman" w:cs="Times New Roman" w:eastAsia="Times New Roman" w:hAnsi="Times New Roman"/>
          <w:b/>
          <w:bCs/>
          <w:sz w:val="27"/>
          <w:szCs w:val="27"/>
        </w:rPr>
        <w:t xml:space="preserve">9.1  Progress to date</w:t>
      </w:r>
    </w:p>
    <w:p>
      <w:pPr>
        <w:spacing w:after="160" w:line="276"/>
        <w:jc w:val="both"/>
      </w:pPr>
      <w:r>
        <w:rPr>
          <w:rFonts w:ascii="Times New Roman" w:cs="Times New Roman" w:eastAsia="Times New Roman" w:hAnsi="Times New Roman"/>
          <w:sz w:val="24"/>
          <w:szCs w:val="24"/>
        </w:rPr>
        <w:t xml:space="preserve">The experimental programme is complete. All five matched pairs across four families (Qwen3-1.7B, Qwen3-4B, Llama-3.2-3B-Instruct, Mistral-7B-Instruct-v0.3, and Phi-4-mini-instruct) have been evaluated at three precisions (fp16, INT8, NF4) on all four benchmarks (HarmBench, XSTest, MMLU, and ARC-Challenge), at both HarmBench's 512-token reference budget (the primary study) and an initial 128-token budget (retained as a controlled comparison), on the NTU TC1 GPU cluster. Harmful compliance has been scored by the official HarmBench classifier and cross-checked by a second, architecturally independent judge (GPT-4o) across all ten models and by an open-weight third judge (Llama-Guard-3-8B [21], revision-pinned) across all fifteen aliases (Cohen's κ 0.36 to 0.92 against the classifier over the ten base/NF4 aliases, every per-pair ΔASR non-significant; a reproducibility cross-check of a looser "is this response unsafe?" construct, not a second construct-validity oracle), and a single-annotator human-label validation of 200 stratified responses has grounded the primary scorer against human judgment (classifier κ 0.59 versus regex 0.11). Three robustness arms are complete: a five-seed stochastic-decoding sensitivity arm (all five pairs), a first-token refusal-margin mechanism probe, and the fp16 → INT8 → NF4 precision sweep. The analysis is complete, and the supporting framework, automated verification suite, and artifact-derived claim registry are implemented and released.</w:t>
      </w:r>
    </w:p>
    <w:p>
      <w:pPr>
        <w:spacing w:after="160" w:line="276"/>
        <w:jc w:val="both"/>
      </w:pPr>
      <w:r>
        <w:rPr>
          <w:rFonts w:ascii="Times New Roman" w:cs="Times New Roman" w:eastAsia="Times New Roman" w:hAnsi="Times New Roman"/>
          <w:sz w:val="24"/>
          <w:szCs w:val="24"/>
        </w:rPr>
        <w:t xml:space="preserve">Two of these steps were corrections rather than plan items, and Chapter 6 reports them as evidence of a self-checking methodology: the initial refusal-regex scorer was found to over-count harmful compliance and was demoted in favour of HarmBench's own fine-tuned classifier, and the initial 128-token generation budget was found to have truncated the majority of responses and manufactured an apparent safety regression, which prompted a full re-run of the entire study at HarmBench's standardized 512-token budget. Both are documented rather than hidden, because the design's ability to detect and correct its own artefacts is itself a result.</w:t>
      </w:r>
    </w:p>
    <w:p>
      <w:pPr>
        <w:pStyle w:val="Heading2"/>
        <w:spacing w:after="140" w:before="200"/>
      </w:pPr>
      <w:r>
        <w:rPr>
          <w:rFonts w:ascii="Times New Roman" w:cs="Times New Roman" w:eastAsia="Times New Roman" w:hAnsi="Times New Roman"/>
          <w:b/>
          <w:bCs/>
          <w:sz w:val="27"/>
          <w:szCs w:val="27"/>
        </w:rPr>
        <w:t xml:space="preserve">9.2  Remaining work toward the final thesis</w:t>
      </w:r>
    </w:p>
    <w:p>
      <w:pPr>
        <w:spacing w:after="160" w:line="276"/>
        <w:jc w:val="both"/>
      </w:pPr>
      <w:r>
        <w:rPr>
          <w:rFonts w:ascii="Times New Roman" w:cs="Times New Roman" w:eastAsia="Times New Roman" w:hAnsi="Times New Roman"/>
          <w:sz w:val="24"/>
          <w:szCs w:val="24"/>
        </w:rPr>
        <w:t xml:space="preserve">The study's scientific claims are established and machine-locked; the remaining work is confirmatory and extensional, and is scoped for the final thesis. In rough order of priority:</w:t>
      </w:r>
    </w:p>
    <w:p>
      <w:pPr>
        <w:pStyle w:val="ListParagraph"/>
        <w:numPr>
          <w:ilvl w:val="0"/>
          <w:numId w:val="4"/>
        </w:numPr>
        <w:spacing w:after="80" w:line="276"/>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highest-leverage extension of the safety axis.</w:t>
      </w:r>
    </w:p>
    <w:p>
      <w:pPr>
        <w:pStyle w:val="ListParagraph"/>
        <w:numPr>
          <w:ilvl w:val="0"/>
          <w:numId w:val="4"/>
        </w:numPr>
        <w:spacing w:after="80" w:line="276"/>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 (classifier κ 0.59 vs regex 0.11 against human labels).</w:t>
      </w:r>
    </w:p>
    <w:p>
      <w:pPr>
        <w:pStyle w:val="ListParagraph"/>
        <w:numPr>
          <w:ilvl w:val="0"/>
          <w:numId w:val="4"/>
        </w:numPr>
        <w:spacing w:after="80" w:line="276"/>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276"/>
        <w:jc w:val="both"/>
      </w:pPr>
      <w:r>
        <w:rPr>
          <w:rFonts w:ascii="Times New Roman" w:cs="Times New Roman" w:eastAsia="Times New Roman" w:hAnsi="Times New Roman"/>
          <w:sz w:val="24"/>
          <w:szCs w:val="24"/>
        </w:rPr>
        <w:t xml:space="preserve">This interim report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none of the five pairs across four families shows a significant increase in harmful compliance under direct requests at four-bit NF4; not one ASR contrast survives multiplicity correction; the only individually significant safety move is a decrease; and the effects that do survive correction are capability losses and one benign-direction over-refusal change. Capability degradation is a clean cliff at four-bit, is budget-invariant, and is the robust cost of NF4 in this regime.</w:t>
      </w:r>
    </w:p>
    <w:p>
      <w:pPr>
        <w:spacing w:after="160" w:line="276"/>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IEEE Access, vol. 14, pp. 96771 to 96793, 2026, doi: 10.1109/ACCESS.2026.3703899. arXiv:2502.15799.</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 to 157, 1947.</w:t>
      </w:r>
    </w:p>
    <w:p>
      <w:pPr>
        <w:spacing w:after="90" w:line="264"/>
        <w:ind w:left="400" w:hanging="400"/>
      </w:pPr>
      <w:r>
        <w:rPr>
          <w:rFonts w:ascii="Times New Roman" w:cs="Times New Roman" w:eastAsia="Times New Roman" w:hAnsi="Times New Roman"/>
          <w:sz w:val="22"/>
          <w:szCs w:val="22"/>
        </w:rPr>
        <w:t xml:space="preserve">[17] Y. Benjamini and Y. Hochberg, "Controlling the false discovery rate: A practical and powerful approach to multiple testing," Journal of the Royal Statistical Society: Series B (Methodological), vol. 57, no. 1, pp. 289-300, 1995.</w:t>
      </w:r>
    </w:p>
    <w:p>
      <w:pPr>
        <w:spacing w:after="90" w:line="264"/>
        <w:ind w:left="400" w:hanging="400"/>
      </w:pPr>
      <w:r>
        <w:rPr>
          <w:rFonts w:ascii="Times New Roman" w:cs="Times New Roman" w:eastAsia="Times New Roman" w:hAnsi="Times New Roman"/>
          <w:sz w:val="22"/>
          <w:szCs w:val="22"/>
        </w:rPr>
        <w:t xml:space="preserve">[18] J. Cohen, "A coefficient of agreement for nominal scales," Educational and Psychological Measurement, vol. 20, no. 1, pp. 37-46, 1960.</w:t>
      </w:r>
    </w:p>
    <w:p>
      <w:pPr>
        <w:spacing w:after="90" w:line="264"/>
        <w:ind w:left="400" w:hanging="400"/>
      </w:pPr>
      <w:r>
        <w:rPr>
          <w:rFonts w:ascii="Times New Roman" w:cs="Times New Roman" w:eastAsia="Times New Roman" w:hAnsi="Times New Roman"/>
          <w:sz w:val="22"/>
          <w:szCs w:val="22"/>
        </w:rPr>
        <w:t xml:space="preserve">[19] J. R. Landis and G. G. Koch, "The measurement of observer agreement for categorical data," Biometrics, vol. 33, no. 1, pp. 159-174, 1977.</w:t>
      </w:r>
    </w:p>
    <w:p>
      <w:pPr>
        <w:spacing w:after="90" w:line="264"/>
        <w:ind w:left="400" w:hanging="400"/>
      </w:pPr>
      <w:r>
        <w:rPr>
          <w:rFonts w:ascii="Times New Roman" w:cs="Times New Roman" w:eastAsia="Times New Roman" w:hAnsi="Times New Roman"/>
          <w:sz w:val="22"/>
          <w:szCs w:val="22"/>
        </w:rPr>
        <w:t xml:space="preserve">[20]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[21]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[22]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[23]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[24]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[25]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276"/>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[22]: models and algorithms are described (Chapters 3 to 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[23], [24]) and is packaged for reuse in line with open-source-software peer-review norms [25].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276"/>
        <w:jc w:val="both"/>
      </w:pPr>
      <w:r>
        <w:rPr>
          <w:rFonts w:ascii="Times New Roman" w:cs="Times New Roman" w:eastAsia="Times New Roman" w:hAnsi="Times New Roman"/>
          <w:sz w:val="24"/>
          <w:szCs w:val="24"/>
        </w:rPr>
        <w:t xml:space="preserve">The framework ships an automated verification suite across the schema, loaders, scorers, analysis mathematics, SLURM generation, and registered document surfaces. The artifact-derived claim registry binds load-bearing tables, captions, deck data, and recurring prose to results_512/analysis/, while a checksum manifest pins immutable raw artefacts. The live test inventory is obtained from pytest rather than copied into the interim report.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 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2026-07-20T14:16:00.979Z</dcterms:created>
  <dcterms:modified xsi:type="dcterms:W3CDTF">2026-07-20T14:16:00.980Z</dcterms:modified>
</cp:coreProperties>
</file>

<file path=docProps/custom.xml><?xml version="1.0" encoding="utf-8"?>
<Properties xmlns="http://schemas.openxmlformats.org/officeDocument/2006/custom-properties" xmlns:vt="http://schemas.openxmlformats.org/officeDocument/2006/docPropsVTypes"/>
</file>