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(a mechanical Outcome J carried with one disclosed protocol deviation, pre-registration §8).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[23]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the greedy-versus-stochastic gaps are small (at most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a decrease, and one of five, so it does not lift the pair-level reading. The claim carried for these pairs is 'no detectable pair-level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[25]);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[26], [27].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[28])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at strict-mapping Cohen's κ 0.485 versus −0.006 and broad-mapping 0.662 versus 0.054,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alongside a redacted per-item audit trail results_512/analysis/xstest_human_validation_items.jsonl (IDs and labels only, no text) for independent reproduction;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signed-rank [29] p &lt; 0.001, n = 200) but moves comply-ward for Qwen (Δm = +1.2 for 1.7B, +4.0 for 4B) and refuse-ward for Llama and Phi (−1.1, −0.3), with effect sizes spanning Cohen dz [30]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a mechanical Outcome J carried with one disclosed protocol deviation, pre-registration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[31])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a mechanical Outcome J carried with one disclosed protocol deviation, pre-registration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0.04 to 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Calibri" w:cs="Calibri" w:eastAsia="Calibri" w:hAnsi="Calibri"/>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Calibri" w:cs="Calibri" w:eastAsia="Calibri" w:hAnsi="Calibri"/>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Calibri" w:cs="Calibri" w:eastAsia="Calibri" w:hAnsi="Calibri"/>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T41 post-Phase-C audit remediation. §6.12 Result 6: the T36 gold-set result is restated from a clean "pre-registered Outcome J" to an Outcome-J-consistent validation carrying one disclosed protocol deviation (pre-registration §8):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and labels only) is now committed for independent reproduction. Also corrected: §6.6.1 and Chapter 7 now state the multi-seed arm covers all five pairs (a residual "three of the five" phrasing removed); the ≈0.06 minimum-detectable-effect figure is scoped as the representative or 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(mechanical Outcome J; the protocol-deviation disclosure was added in the T41 pass above)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revision-pinned, locally rerunnable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2026-07-20T14:16:00.375Z</dcterms:created>
  <dcterms:modified xsi:type="dcterms:W3CDTF">2026-07-20T14:16:00.376Z</dcterms:modified>
</cp:coreProperties>
</file>

<file path=docProps/custom.xml><?xml version="1.0" encoding="utf-8"?>
<Properties xmlns="http://schemas.openxmlformats.org/officeDocument/2006/custom-properties" xmlns:vt="http://schemas.openxmlformats.org/officeDocument/2006/docPropsVTypes"/>
</file>