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most plausibly a measurement artifact of the regex scorer, since an independent three-class refusal judge does not reproduce it and a blinded human audit finds that judge substantially better aligned with the annotator than the regex on this construct (§6.12); a validation-informed parallel correction with over-refusal scored by that judge leaves two survivors, both capability effects (§6.5.1), and no scorer finds a statistically significant over-refusal increase in any pair.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0.04–0.09 per pair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6.2  All-pair quantization deltas, interpretation labels, and evidence status.</w:t>
      </w:r>
    </w:p>
    <w:p>
      <w:pPr>
        <w:spacing w:after="60" w:line="360"/>
      </w:pPr>
      <w:r>
        <w:rPr>
          <w:rFonts w:ascii="Times New Roman" w:cs="Times New Roman" w:eastAsia="Times New Roman" w:hAnsi="Times New Roman"/>
          <w:sz w:val="22"/>
          <w:szCs w:val="22"/>
        </w:rPr>
        <w:t xml:space="preserve">Table 6.3  Judge vs v2 per-model agreement on HarmBench (n = 200 each).</w:t>
      </w:r>
    </w:p>
    <w:p>
      <w:pPr>
        <w:spacing w:after="60" w:line="360"/>
      </w:pPr>
      <w:r>
        <w:rPr>
          <w:rFonts w:ascii="Times New Roman" w:cs="Times New Roman" w:eastAsia="Times New Roman" w:hAnsi="Times New Roman"/>
          <w:sz w:val="22"/>
          <w:szCs w:val="22"/>
        </w:rPr>
        <w:t xml:space="preserve">Table 6.4  Exploratory per-pair XSTest over-refusal deltas under the independent three-class refusal judge.</w:t>
      </w:r>
    </w:p>
    <w:p>
      <w:pPr>
        <w:spacing w:after="60" w:line="360"/>
      </w:pPr>
      <w:r>
        <w:rPr>
          <w:rFonts w:ascii="Times New Roman" w:cs="Times New Roman" w:eastAsia="Times New Roman" w:hAnsi="Times New Roman"/>
          <w:sz w:val="22"/>
          <w:szCs w:val="22"/>
        </w:rPr>
        <w:t xml:space="preserve">Table 6.5  HarmBench ΔASR across the 128- and 512-token generation budgets.</w:t>
      </w:r>
    </w:p>
    <w:p>
      <w:pPr>
        <w:spacing w:after="60" w:line="360"/>
      </w:pPr>
      <w:r>
        <w:rPr>
          <w:rFonts w:ascii="Times New Roman" w:cs="Times New Roman" w:eastAsia="Times New Roman" w:hAnsi="Times New Roman"/>
          <w:sz w:val="22"/>
          <w:szCs w:val="22"/>
        </w:rPr>
        <w:t xml:space="preserve">Table D.1  Stable verification coverage areas.</w:t>
      </w:r>
    </w:p>
    <w:p>
      <w:pPr>
        <w:spacing w:after="60" w:line="360"/>
      </w:pPr>
      <w:r>
        <w:rPr>
          <w:rFonts w:ascii="Times New Roman" w:cs="Times New Roman" w:eastAsia="Times New Roman" w:hAnsi="Times New Roman"/>
          <w:sz w:val="22"/>
          <w:szCs w:val="22"/>
        </w:rPr>
        <w:t xml:space="preserve">Table G.1  Revision history of this FYP report.</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typically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a standard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By construction this isolates the quantization step from checkpoint-provenance confounds — separate fine-tuning, conversion artifacts, or a re-uploaded checkpoint — so any observed delta is best attributed to quantization or to measurement noise rather than to a different underlying model. This is the strongest practical isolation available under the recorded matched-pair configuration; the exact runtime environment is a separate, documented reproducibility caveat (Chapter 8), not a confound this design removes.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quantization actually engaged — checking is_loaded_in_4bit, is_loaded_in_8bit, is_quantized, and the presence of an hf_quantizer — and raises a RuntimeError refusing to proceed if none of those signals is set, so a silently unquantized load cannot be mislabelled as quantized.</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subsequent pre-registered human audit — a blinded, 200-item, disagreement-enriched single-annotator gold set — finds the judge substantially better aligned with the annotator than the regex on this construct (a mechanical Outcome J, carried as Outcome-J–consistent with one disclosed protocol deviation, §8 of the pre-registration), so that contrast is carried as most plausibly a regex measurement artifact, with the regex retained as the original pre-specified scorer-of-record for traceability and a second annotator remaining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10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(local/dev convenience; --dry_run prints planned submissions). Not used on TC1, where head-node Python is disallowed — TC1 jobs are submitted with direct sbatch (§5, TC1 runbook).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Render a task-specific startup packet for an agent session.</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run pytest tests/ for the live inventory)</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center"/>
      </w:pPr>
      <w:r>
        <w:rPr>
          <w:rFonts w:ascii="Times New Roman" w:cs="Times New Roman" w:eastAsia="Times New Roman" w:hAnsi="Times New Roman"/>
          <w:sz w:val="18"/>
          <w:szCs w:val="18"/>
        </w:rPr>
        <w:t xml:space="preserve">Code listing 5.1  Head-node pre-cache invocation (scripts/prefetch_tc1.py).</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10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[23]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Exactly 3 primary contrasts survive BH-FDR: Qwen3-1.7B MMLU (−0.090, q = 0.008), Llama-3.2-3B ARC (−0.032, q = 0.008), Phi-4-mini over-refusal (−0.048, q = 0.012). No HarmBench ASR contrast survives.</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under the primary lenient parser — the largest single capability contrast observed in this study (a two-pair, within-Qwen, MMLU-anchored comparison). This 30:1 ratio is a lenient-parser figure: on ARC under the same parser the 4B pair loses marginally more than the 1.7B (−1.6 pp vs −0.9 pp), which at first suggests the scale gap is MMLU-specific —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under the primary lenient parser. This apparent ARC-robustness is largely a parser artefact, not benchmark-wide preserved capability: both benchmarks suffer the same 4-bit answer-format collapse for this pair (the lenient fallback fires on 48.7% of its MMLU items and 52.3% of its ARC items, versus ~3% at fp16; §6.5), but the fallback salvages the format-broken ARC answers more accurately (66%, well above the 25% chance floor, so answer-knowledge on ARC is substantially preserved) than the MMLU ones (46%), and that difference is what masks the ARC loss. A strict parser that scores an unparsable answer incorrect measures format-compliant answering rather than answer-knowledge alone; under it ARC falls −0.343 and MMLU −0.293 (both significant), comparable large losses. The lenient reading is therefore not evidence that the 1.7B degradation is genuinely MMLU-specific (the answer-format truncation that partly explained the MMLU figure at 128 tokens is separately resolved at 512 — Chapter 8); each benchmark's loss is best read as a bracket whose lenient end tracks answer-knowledge (largely preserved) and whose strict end tracks format-compliant answering (which collapses on both benchmarks).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when ARC is scored by the primary lenient parser (which finds the 4B losing marginally more than the 1.7B) — but under a strict parser it does replicate and then some, the 1.7B pair losing −0.343 on ARC against the 4B pair's −0.017, because the lenient parser was masking the 1.7B ARC collapse (above); the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now all five pairs). For Qwen 1.7B the greedy 0.000 sits inside the seed range (mean +0.013, range [0.000, +0.035], 0 of 5 seeds significant), and across the five pairs every seed-mean |ΔASR| is at most 0.029 and every per-seed |ΔASR| at most 0.055, so the arm corroborates the null rather than an effect (with one honest nuance for the two cross-family pairs disclosed in §6.6.1: their greedy points sit just outside narrow, zero-straddling seed ranges).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 52.3% of the 4-bit member's ARC items fall to the lenient fallback versus 2.5% for its fp16 twin —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 comparable large losses on both benchmarks. All four capability point estimates for this pair are negative — three of them individually significant, with ARC under the lenient parser (−0.009) within noise of zero —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[24] from −0.01 to 0.50 under the strict mapping, and to 0.54 under the broad one), so this contrast is scorer-dependent — and the pre-registered human audit (§6.12, Result 6) resolves the weighting: the judge aligns substantially better with a blinded single annotator than the regex on this construct (strict κ 0.485 versus −0.006; regex recall 2 of 63 full refusals), so the contrast is carried as most plausibly a measurement artifact of the regex scorer, and the validation-informed parallel correction (§6.5.1) states the over-refusal conclusion without it.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whereas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Because the over-refusal member of every contrast above is regex-scored, and the §6.12 Result 6 human audit subsequently found that scorer poorly aligned with a blinded human annotator on this construct, a validation-informed parallel correction is also reported —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T35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 no contrast becomes significant that was not already — and the original regex-scored family above remains the pre-specified family of record for traceability. The substantive RQ2 conclusion is carried in the scorer-invariant form: no scorer finds a statistically significant over-refusal increase in any pair (point estimates do move upward in places — the judge-strict Qwen3-1.7B +0.040 is the largest, McNemar p = 0.087 — but none reaches significance under either scorer). Per-contrast values are in results_512/analysis/multiple_comparisons_judge_strict.json.</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all five pairs were re-run on HarmBench at a single fixed stochastic setting (temperature 0.7, top-p 0.8 — Qwen3's published non-thinking recommendation, applied uniformly to all five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this pair's minimum detectable effect (0.079 at n = 200; the representative per-pair MDE is ≈0.06, with the five pairs spanning 0.044–0.086,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next two pairs behave consistently with their primary deltas: Qwen 4B has mean +0.029 (range [+0.010, +0.050]; 1 of 5 seeds individually significant under McNemar's exact test, a directional non-null), and Llama has mean −0.024 with no positive seed in five (range [−0.040, −0.010]; 2 of 5 seeds individually significant, both decreases), matching its significant safety-improving primary decrease; both greedy points (+0.040 and −0.040) sit inside their seed ranges. The arm has since been extended to the two cross-family pairs under the identical protocol, completing coverage of all five pairs: Mistral-7B has seed mean +0.012 (range [−0.005, +0.045], 0 of 5 seeds significant) and Phi-4-mini seed mean −0.012 (range [−0.055, +0.015], 1 of 5 seeds individually significant — and that seed, −0.055, is a decrease). One honest nuance for these two pairs is disclosed rather than smoothed over: unlike the three original pairs, whose greedy point estimates sit inside their seed ranges, the greedy deltas for Mistral (−0.020) and Phi (+0.020) fall just outside their narrow seed ranges — Mistral's just below its seed minimum, Phi's just above its seed maximum, each with the opposite sign to its seed mean. Both ranges straddle zero, the greedy–stochastic gaps are small (≤0.04) and sign-unstable, and the seed means are near zero (Mistral +0.012, Phi −0.012), so the discrepancy reads as noise around zero rather than a stochastic effect the greedy run missed. This is not argued from a single detection floor: per-pair minimum detectable effects vary (0.044–0.086 at n = 200, §6.5), and one Phi seed is itself individually significant at −0.055 (McNemar p = 0.043) — a decrease, and one of five, so it does not lift the pair-level reading. The claim carried for these pairs is 'no detectable change under either decoding regime', not greedy-versus-seed agreement in point estimate. Across all five pairs no pair is robustly positive: every per-seed |ΔASR| is at most 0.055, every seed-mean |ΔASR| at most 0.029, and the four seeds that reach individual significance anywhere in the arm split one increase (Qwen 4B, +0.050) against three decreases (Llama's two and Phi's one), so the stochastic arm corroborates the RQ1 null across the full matrix. Per-seed deltas and per-seed exact McNemar results are persisted in results_512/analysis/sensitivity_multiseed.json (judge_delta.per_seed and n_seeds_significant_p05), so every per-seed claim in this section is asserted against a committed artifact.</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 the one over-refusal survivor is most plausibly a regex measurement artifact (human-audited, §6.12 Result 6; under the validation-informed parallel family only the two capability contrasts survive, §6.5.1) —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(verbal agreement descriptors follow the Landis and Koch benchmarks [25]);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fair-to-moderate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the ten base/NF4 aliases of the primary study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plausibly inflates the measured disagreement, so the observed κ is best read as conservative — though the direction is not strictly identified, since a harmful-looking prefix followed by a benign completion cuts the other way. The primary classifier agrees with the human at Cohen's κ = 0.59 (moderate agreement); the demoted refusal regex agrees at κ = 0.11 (slight).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[26], [27].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and are not population estimates; the direction in which a representative population would move them is not identified by this design (the enriched slice changes both the item difficulty and the marginal prevalence κ depends on). The reported pair should therefore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(Llama Guard [28]) is the natural complementary cross-check. That check has now been run and folded in: a revision-pinned Llama-Guard-3-8B re-scored the 200 saved HarmBench generations of all fifteen aliases on TC1 with zero parse errors, agreeing with the primary classifier at Cohen's κ from 0.36 to 0.92 across the ten base/NF4 aliases of the primary study (highest for the Llama pair, 0.89/0.92; lowest for Phi, 0.36/0.38; Qwen 0.56–0.77, Mistral 0.61/0.63), and it reproduces the RQ1 null: every per-pair Llama-Guard ΔASR is non-significant (the largest move, Qwen 1.7B −0.050, McNemar p = 0.076, is a decrease), and its sign agrees with the classifier's for every pair whose classifier delta is nonzero (Qwen 1.7B's classifier delta is exactly 0.000, so no sign is defined there). One construct caveat bounds this reading and is stated plainly: Llama-Guard answers a looser question ('is this response unsafe?') than the HarmBench classifier ('is this generation an instance of the specific behavior?'), so where the two disagree — most visibly the low Phi κ — the divergence is expected and non-diagnostic; agreement is the informative direction, and the guard is a reproducibility cross-check, not a second construct-validity oracle. With an open-weight, revision-pinned third judge reproducing the null, the residual reproducibility caveat that the judge cross-check rested solely on a versioned API snapshot is retired (per-alias and per-pair figures in results_512/analysis/judge_pairwise_agreement_llamaguard.{json,csv}; the gpt-4o-versus-Llama-Guard leg is in judge_pairwise_agreement_api_vs_llamaguard.{json,csv}).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 and the human audit below resolves which scorer to weight: the contrast is most plausibly a measurement artifact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registered multiplicity family (the judge-strict column is the over-refusal member of the §6.5.1 validation-informed parallel family). From results_512/analysis/xstest_judge_agreement.json.</w:t>
      </w:r>
    </w:p>
    <w:p>
      <w:pPr>
        <w:spacing w:after="160" w:line="360"/>
        <w:jc w:val="both"/>
      </w:pPr>
      <w:r>
        <w:rPr>
          <w:rFonts w:ascii="Times New Roman" w:cs="Times New Roman" w:eastAsia="Times New Roman" w:hAnsi="Times New Roman"/>
          <w:sz w:val="22"/>
          <w:szCs w:val="22"/>
        </w:rPr>
        <w:t xml:space="preserve">The human grounding for this axis has since been completed, mirroring Result 5. All 200 items of a pre-registered gold set — drawn from the same 3,750 saved responses, deliberately over-sampling the regex-versus-judge disagreements (120 of 200) and double-weighting the contested Phi and divergent Qwen-1.7B pairs, presentation-shuffled and label-blind — were labelled by a single human annotator (the study's author) under the same three-class XSTest taxonomy the judge applies. That taxonomy is the benchmark's own, but the shared rubric is disclosed plainly: a semantic judge is structurally better placed than a phrase-matcher to satisfy a shared semantic rubric, so the comparison measures alignment with the annotator under the benchmark's construct, not scorer quality in the abstract. The J/R/T/X read-off (docs/XSTEST_GOLD_PREREG.md, whose outcome matrix was locked before any label existed) gives a mechanical Outcome J: the judge aligns substantially better with the annotator than the regex — strict-mapping Cohen's κ 0.485 versus −0.006, broad-mapping 0.662 versus 0.054 — and the two failure modes are asymmetric in kind. One protocol deviation is disclosed rather than glossed (pre-registration §8): the blindness exclusion was applied prompt-wide (the five quoted prompts removed from all ten aliases) instead of to the ≤10 pre-specified (alias, prompt) items, which under the pre-registration's strict letter voids the clean confirmatory badge — so this is reported as an Outcome-J–consistent validation carrying one disclosed deviation, not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regex detected 2 of the annotator's 63 full refusals (recall 0.032; the 61 missed refusals are typically long, polite, lecture-style declinations carrying none of the template phrases), whereas the judge caught 61 of 63 (recall 0.968) and errs by over-flagging (52 over-flags, 25 of them on the genuinely subjective partial-versus-full boundary; three-class exact agreement with the annotator 0.695). Three bounds are stated with the same plainness as Result 5's: these labels are a blinded single-annotator reference set, not ground truth (a single annotator can misread and drift, and no inter-rater κ exists for this set); the draw is disagreement-enriched, so the κ values are a contested-slice contrast, not population estimates, and no population over-refusal rate or human ΔOR is estimated from them (descriptively, the labelled Phi items show no base-versus-4-bit difference in human-judged strict refusal, but the subset licenses no population claim); and the pre-registered no-swap rule (D45) was locked before the judge results existed but after the regex results were known — a timing disclosed rather than argued from. Under the Outcome-J–consistent action (the confirmatory pre-registration status withdrawn per the §8 deviation, the reporting action itself unchanged), the regex remains the original pre-specified scorer-of-record and the registered multiplicity family is unchanged; the interpretive weight, however, shifts to the judge as the scorer better aligned with the single annotator on the enriched audit. The Phi-4-mini −0.048 contrast is therefore not treated as robust evidence of reduced over-refusal — it is most plausibly a measurement artifact of the regex scorer — and the §6.5.1 validation-informed parallel family gives that reading a multiplicity-controlled footing: under it, two contrasts survive, both capability effects. The committed aggregate is results_512/analysis/xstest_human_validation.json (counts and rates only; the annotation sheet holds raw text and stays local); a second annotator with an inter-rater κ remains the residual strengthening, exactly as for Result 5.</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substantial-to-almost-perfect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signed-rank [29] p &lt; 0.001, n = 200) but moves comply-ward for Qwen (Δm = +1.2 for 1.7B, +4.0 for 4B) and refuse-ward for Llama and Phi (−1.1, −0.3), with effect sizes spanning Cohen dz [30]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550"/>
        <w:gridCol w:w="2550"/>
        <w:gridCol w:w="2526"/>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52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center"/>
      </w:pPr>
      <w:r>
        <w:rPr>
          <w:rFonts w:ascii="Times New Roman" w:cs="Times New Roman" w:eastAsia="Times New Roman" w:hAnsi="Times New Roman"/>
          <w:sz w:val="18"/>
          <w:szCs w:val="18"/>
        </w:rPr>
        <w:t xml:space="preserve">Table 6.5  HarmBench ΔASR across the retained 128-token comparison and the 512-token reference budget. Source: results_512/analysis/genlen_robustness.json.</w:t>
      </w:r>
    </w:p>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now covers all five pairs (§6.6.1).</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experimental variable against model-provenance confounds. The design leaves few plausible alternative explanations for an observed delta beyond the quantization step itself, the act of loading the same checkpoint twice, or measurement noise — with the important qualification, established in §6.5 and §6.12, that the choice of harm scorer, over-refusal scorer, and answer-parser is itself a measurement variable that moves the observed deltas, so "few alternatives" refers to model-provenance confounds, not to scoring choices.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ensures every reported metric is computed from a complete raw.jsonl with exactly the configured number of prompts; on resume it keys on prompt IDs, and every row carries per-record provenance (seed, model_id, generation_config) for audit.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(LlamaGuard) is the natural complementary cross-check; that check has now been run and folded in (§6.12): a revision-pinned Llama-Guard-3-8B re-scored all fifteen aliases' saved generations with zero parse errors, agreed with the classifier at κ 0.36–0.92 across the ten base/NF4 aliases, and found every per-pair ΔASR non-significant, reproducing the null under an open-weight third judge and retiring the versioned-API-only reproducibility caveat — subject to the construct caveat that Llama-Guard answers a looser 'is this response unsafe?' question than the behavior-specific HarmBench classifier, so its disagreements are expected and non-diagnostic and it serves as a reproducibility cross-check rather than a second construct-validity oracle.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and the pre-registered human refusal audit has since grounded that comparison: the judge aligns substantially better with a blinded single annotator than the regex (strict κ 0.485 versus −0.006, a mechanical Outcome J carried with one disclosed protocol deviation, §8), so the contrast is carried as most plausibly a regex measurement artifact, with a second annotator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all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the 4-bit member's ARC items fall to the lenient fallback versus 2.5% at fp16), so its near-zero primary delta (−0.009) reflects the lenient parser salvaging format-broken answers, not immunity; under a strict parser ARC and MMLU fall comparably (−0.343 and −0.293, both significant). ARC therefore corroborates the direction of the loss under both parsers but not its lenient-parser smallness — each benchmark's magnitude is best read as a bracket between the lenient and strict parsers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all five pairs). Temperature 0.0 is used throughout the primary study, eliminating within-condition stochastic variance from the main analysis. A multi-seed (T = 0.7, top-p 0.8, five seeds) sensitivity arm was run at the 512-token reference budget and scored by the official classifier (§6.6.1); it now covers all five pairs. At 512 it corroborates the null-safety result: for Qwen 1.7B the greedy ΔASR of 0.000 sits inside the per-seed range (mean +0.013, range [0.000, +0.035], 0 of 5 seeds significant), no pair is seed-robust in the harmful direction, and for the two cross-family pairs the greedy point sits just outside a narrow seed range that straddles zero (§6.6.1) — small noise around zero, not a masked stochastic effect. The residual limitation is the arm's scope, not its coverage: it is judge-scored HarmBench only, at a single stochastic setting (T = 0.7, top-p 0.8) with five seeds; the over-refusal and capability axes remain greedy-only.</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is noted in Chapter 9 (the multi-seed arm itself now covers all five pairs, §6.6.1).</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all five pairs at the reference budget). A multi-seed arm (temperature 0.7, top-p 0.8, five seeds, official classifier) was run at the 512-token reference budget for all five pairs (§6.6.1). At 512 it corroborates the null-safety result rather than tempering a real effect: for Qwen 1.7B the greedy ΔASR of 0.000 sits inside the per-seed range (mean +0.013, range [0.000, +0.035], 0 of 5 seeds significant), Llama's seeds are all non-positive (mean −0.024), and the two cross-family pairs added by the completed extension are within noise of zero (Mistral seed mean +0.012, Phi −0.012; Phi's one significant seed is a −0.055 decrease), with their greedy points sitting just outside narrow zero-straddling seed ranges (§6.6.1). (At the truncated 128-token budget the same arm had attenuated an apparent +0.055; that effect has since been shown to be a truncation artefact, §6.16.) Raising the seed count and extending the arm beyond judge-scored HarmBench — to the over-refusal and capability axes — would complete the within-condition variance estimate.</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[31])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On the judge side: (i) the open-weight guard-model cross-check has now been run and folded in (Llama-Guard-3-8B, revision-pinned, via the --backend llamaguard path on TC1; all fifteen aliases, zero parse errors; §6.12): it agrees with the primary classifier at κ 0.36–0.92 across the ten base/NF4 aliases, finds every per-pair ΔASR non-significant, and retires the versioned-API-only reproducibility caveat — with the residual that it answers a looser safety question ('is this response unsafe?') than the behavior-specific HarmBench classifier and therefore serves as a reproducibility cross-check, not a second construct-validity oracle; and (ii) a refusal-style judge for XSTest over-refusal has now been run as a sensitivity layer (§6.12, Result 6; gpt-4o, three-class taxonomy, 3,750 responses, zero parse failures), finding the one multiplicity-robust over-refusal contrast to be scorer-dependent — and the human-labelled refusal gold set that grounds that comparison has since been completed too (200 items, blinded single annotator, a mechanical Outcome J carried with one disclosed protocol deviation, §8: the judge aligns substantially better with the annotator than the regex), exactly as the HarmBench human audit (Result 5) grounds the classifier; the residual on both axes is a second annotator with an inter-rater κ.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0.04–0.09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vol. 14, pp. 96771–96793, 2026, doi: 10.1109/ACCESS.2026.3703899.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Y. Benjamini and Y. Hochberg, “Controlling the false discovery rate: A practical and powerful approach to multiple testing,” Journal of the Royal Statistical Society: Series B (Methodological), vol. 57, no. 1, pp. 289–300, 1995.</w:t>
      </w:r>
    </w:p>
    <w:p>
      <w:pPr>
        <w:pStyle w:val="ListParagraph"/>
        <w:numPr>
          <w:ilvl w:val="0"/>
          <w:numId w:val="7"/>
        </w:numPr>
        <w:spacing w:after="80" w:line="280"/>
      </w:pPr>
      <w:r>
        <w:rPr>
          <w:rFonts w:ascii="Times New Roman" w:cs="Times New Roman" w:eastAsia="Times New Roman" w:hAnsi="Times New Roman"/>
          <w:sz w:val="22"/>
          <w:szCs w:val="22"/>
        </w:rPr>
        <w:t xml:space="preserve">J. Cohen, “A coefficient of agreement for nominal scales,” Educational and Psychological Measurement, vol. 20, no. 1, pp. 37–46, 1960.</w:t>
      </w:r>
    </w:p>
    <w:p>
      <w:pPr>
        <w:pStyle w:val="ListParagraph"/>
        <w:numPr>
          <w:ilvl w:val="0"/>
          <w:numId w:val="7"/>
        </w:numPr>
        <w:spacing w:after="80" w:line="280"/>
      </w:pPr>
      <w:r>
        <w:rPr>
          <w:rFonts w:ascii="Times New Roman" w:cs="Times New Roman" w:eastAsia="Times New Roman" w:hAnsi="Times New Roman"/>
          <w:sz w:val="22"/>
          <w:szCs w:val="22"/>
        </w:rPr>
        <w:t xml:space="preserve">J. R. Landis and G. G. Koch, “The measurement of observer agreement for categorical data,” Biometrics, vol. 33, no. 1, pp. 159–174, 1977.</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F. Wilcoxon, “Individual comparisons by ranking methods,” Biometrics Bulletin, vol. 1, no. 6, pp. 80–83, 1945.</w:t>
      </w:r>
    </w:p>
    <w:p>
      <w:pPr>
        <w:pStyle w:val="ListParagraph"/>
        <w:numPr>
          <w:ilvl w:val="0"/>
          <w:numId w:val="7"/>
        </w:numPr>
        <w:spacing w:after="80" w:line="280"/>
      </w:pPr>
      <w:r>
        <w:rPr>
          <w:rFonts w:ascii="Times New Roman" w:cs="Times New Roman" w:eastAsia="Times New Roman" w:hAnsi="Times New Roman"/>
          <w:sz w:val="22"/>
          <w:szCs w:val="22"/>
        </w:rPr>
        <w:t xml:space="preserve">J. Cohen, Statistical Power Analysis for the Behavioral Sciences, 2nd ed. Hillsdale, NJ: Lawrence Erlbaum Associates, 1988.</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Verification Coverage</w:t>
      </w:r>
    </w:p>
    <w:p>
      <w:pPr>
        <w:spacing w:after="160" w:line="360"/>
        <w:jc w:val="both"/>
      </w:pPr>
      <w:r>
        <w:rPr>
          <w:rFonts w:ascii="Times New Roman" w:cs="Times New Roman" w:eastAsia="Times New Roman" w:hAnsi="Times New Roman"/>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generation, offline bootstrap, grouping modes, resource settings, and submission safeguards.</w:t>
            </w:r>
          </w:p>
        </w:tc>
      </w:tr>
    </w:tbl>
    <w:p>
      <w:pPr>
        <w:spacing w:after="120" w:line="360"/>
      </w:pPr>
      <w:r>
        <w:rPr>
          <w:rFonts w:ascii="Times New Roman" w:cs="Times New Roman" w:eastAsia="Times New Roman" w:hAnsi="Times New Roman"/>
          <w:sz w:val="18"/>
          <w:szCs w:val="18"/>
        </w:rPr>
        <w:t xml:space="preserve">Table D.1  Stable verification coverage areas. The live test inventory is produced by pytest.</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2026-07-19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T41 post-Phase-C audit remediation. §6.12 Result 6: the T36 gold-set result is restated from a clean "pre-registered Outcome J" to an Outcome-J–consistent validation carrying one disclosed protocol deviation (pre-registration §8) — the blindness exclusion was applied prompt-wide (five quoted prompts removed from all ten aliases) instead of the ≤10 pre-specified (alias, prompt) items, which under the pre-registration's letter voids the clean confirmatory badge; the deviation was fixed in code before the draw and before any labelling, is blindness-conservative, and displaced at most 14 of 200 items (a no-exclusion counterfactual draw overlaps the labelled set on 186, and the strict κ gap on the shared items is +0.51, unchanged from the full-sample +0.49). The substantive conclusion (the judge tracks human refusal judgment far better than the regex; the Phi −0.048 survivor is most plausibly a regex measurement artifact) and every κ value are unchanged; a redacted per-item audit trail (xstest_human_validation_items.jsonl, IDs + labels only) is now committed for independent reproduction. Also corrected: §6.6.1/Chapter 7 now state the multi-seed arm covers all five pairs (a residual "three of the five" phrasing removed); the ≈0.06 minimum-detectable-effect figure is scoped as the representative/median-pair value rather than a universal floor (per-pair MDEs span 0.044–0.086); and the open-weight LlamaGuard cross-check is reworded from "fully reproducible" to revision-pinned and locally rerunnable, with its sidecars' scorer-version provenance corrected. No registered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T41 disclosure pass above)</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T36 human refusal gold set folded in (mechanical Outcome J; the protocol-deviation disclosure was added in the T41 pass above) + validation-informed parallel multiplicity family (D51). §6.12 Result 6 extended with the completed 200-item blinded single-annotator audit: the three-class judge aligns substantially better with the annotator than the regex on benign over-refusal (strict κ 0.485 vs −0.006, broad 0.662 vs 0.054; regex recall 2/63 full refusals, judge 61/63 with over-flagging concentrated on the partial/full boundary), so the Phi-4-mini −0.048 over-refusal survivor is carried as most plausibly a regex measurement artifact; disclosures added (single-annotator reference set on a disagreement-enriched draw, not population ground truth; shared benchmark taxonomy; D45 timing judge-outcome-blind but regex-outcome-aware). §6.5.1 adds the composition-locked validation-informed parallel BH-FDR family (over-refusal scored judge-strict; docs/VALIDATION_INFORMED_FAMILY_NOTE.md): two survivors, both capability effects, purely deflationary; the registered regex family remains the family of record. RQ2 restated scorer-invariantly: no scorer finds a statistically significant over-refusal increase in any pair. New committed artifacts: xstest_human_validation.json, multiple_comparisons_judge_strict.json. No registered number changed. The same 2026-07-19 pass also folds in the T37/T39 evidence: the open-weight Llama-Guard-3-8B third judge (revision-pinned, all fifteen aliases re-scored with zero parse errors, κ 0.36–0.92 versus the classifier, every per-pair ΔASR non-significant — retiring the versioned-API-only reproducibility caveat, bounded by the construct-mismatch caveat that Llama-Guard answers a looser safety question; §6.12, judge_pairwise_agreement_llamaguard.{json,csv}) and the multi-seed arm extended from three to all five pairs (Mistral seed mean +0.012, Phi −0.012, both within noise; the greedy points for these two pairs sit just outside narrow zero-straddling seed ranges, disclosed in §6.6.1; sensitivity_multiseed.json).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Submission-safety patch (verified external-audit remediation, pulled ahead of the deferred T36/T37/T39 evidence fold-in). Corrected a factual error: ARC-Challenge was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so ARC's near-zero primary delta (−0.009) is the lenient parser salvaging format-broken answers, not immunity — under a strict parser ARC −0.343 and MMLU −0.293 fall comparably. Capability loss reframed as a lenient/strict bracket (direction parser-robust, magnitude parser-dependent); answer-format parsing added as a third measurement-dependence axis alongside the harm and over-refusal scorers. Statistical/interpretation register tightened per the audit: κ human-validation stated as conservative rather than a proven lower bound and as a disagreement-enriched, non-population estimate (§6.12); causal language scoped to "isolates quantization against model-provenance confounds" rather than "only variable / no plausible alternative explanation" (Abstract, §3, Ch7); scale/novelty claims narrowed ("almost always"→typically; "single largest predictor"→largest observed within-family contrast). T37 (LlamaGuard) and T39 (Mistral/Phi multi-seed) reworded from future-work to executed-with-verification-pending (no numbers folded in yet). Numeric fixes: Qwen3-1.7B XSTest has 10 discordant prompts, not 11 (b=2,c=8; p=0.109 unchanged); Llama baseline over-refusal 0.032 (v2 scorer of record, not the retired 0.036); test inventory 382 across 29 files (was 339/26), Appendix D refreshed; "classifier- and human-anchored" corrected to exact-match for the capability survivors. List of Tables now lists Tables 6.2–6.4. No committed or primary result number changed; the only added numbers are the committed strict-parser sensitivity figures.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2026-07-12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The classifier has since been cross-checked three times: by an independent frontier-model second judge (gpt-4o, §6.12 Result 4), against human labels on a stratified subset (§6.12 Result 5), and by an open-weight guard model (Llama-Guard-3-8B, revision-pinned; §6.12), whose revision-pinned, locally rerunnable re-scoring — unlike the versioned API judge — agrees with the classifier at κ 0.36–0.92 across the ten base/NF4 aliases and finds every per-pair ΔASR non-significant, with the construct caveat that it answers a looser safety question than the behavior-specific classifier. All three run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2026-07-20T14:15:59.603Z</dcterms:created>
  <dcterms:modified xsi:type="dcterms:W3CDTF">2026-07-20T14:15:59.604Z</dcterms:modified>
</cp:coreProperties>
</file>

<file path=docProps/custom.xml><?xml version="1.0" encoding="utf-8"?>
<Properties xmlns="http://schemas.openxmlformats.org/officeDocument/2006/custom-properties" xmlns:vt="http://schemas.openxmlformats.org/officeDocument/2006/docPropsVTypes"/>
</file>