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most plausibly a measurement artifact of the regex scorer, since an independent three-class refusal judge does not reproduce it and a blinded human audit finds that judge substantially better aligned with the annotator than the regex on this construct (§7.2); a validation-informed parallel correction with over-refusal scored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independent validation of judge scores is exactly what the LLM-as-judge literature urges [11], [12]. It applies a condensed one-sentence yes/no rubric that encodes the same harmful-behaviour criterion as the HarmBench classifier rather than the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[17] over the twenty-contrast primary family; a power analysis reports the minimum detectable effect (about 0.06 at n = 200 for the representative pair, with the five pairs spanning 0.044–0.086);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[18] between the regex and the classifier at the 512-token reference budget is fair-to-moderate for the Qwen and Mistral models and substantial or better for Llama and Phi (verbal bands per Landis and Koch [19])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and a blinded human audit finds that judge substantially better aligned with the annotator than the regex, so the decrease is most plausibly a measurement artifact of the regex scorer — §7.2), while Qwen3-1.7B’s smaller decrease is not significant on either criterion (−0.024, McNemar p = 0.109; its CI [−0.048, 0.000] touches zero). No pair becomes significantly more prone to over-refusal on benign prompts, under either scorer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 Mistral’s greedy −0.020 just below [−0.005, +0.045], Phi’s greedy +0.020 just above [−0.055, +0.015] — small, sign-unstable gaps (each ≤0.04) around seed means that are themselves near zero (Mistral +0.012, Phi −0.012), not a directional signal the greedy run missed. This is not read off a single detection floor: per-pair minimum detectable effects vary (0.044–0.086 at n = 200), and one Phi seed is itself individually significant at −0.055 (McNemar p = 0.043) —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[20].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at the representative (median-discordant) pair, with the five pairs spanning 0.044–0.086.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both an independent refusal judge (which does not reproduce it) and the completed human refusal audit (§7.2) mark it as most plausibly a measurement artifact of that regex.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360"/>
        <w:jc w:val="both"/>
      </w:pPr>
      <w:r>
        <w:rPr>
          <w:rFonts w:ascii="Times New Roman" w:cs="Times New Roman" w:eastAsia="Times New Roman" w:hAnsi="Times New Roman"/>
          <w:sz w:val="24"/>
          <w:szCs w:val="24"/>
        </w:rPr>
        <w:t xml:space="preserve">Because the over-refusal member of every contrast above is regex-scored, and the §7.2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judge-validation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therefore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 no scorer finds a statistically significant over-refusal increase in any pair, and the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A third, open-weight judge — Llama-Guard-3-8B [21], revision-pinned — re-scored the 200 HarmBench generations of all fifteen aliases in the three-precision study (0 parse errors). Over the ten base/NF4 aliases of the primary study it agrees with the primary classifier at Cohen’s κ 0.36–0.92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 the low Phi κ — the divergence is expected and non-diagnostic; it is a reproducibility cross-check, not a second construct-validity oracle.</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resolves which scorer to weight. All 200 items of a gold set drawn from the same saved responses — deliberately over-sampling the regex-versus-judge disagreements (120 of 200), presentation-shuffled and label-blind —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 strict-mapping Cohen’s κ 0.485 versus −0.006, broad-mapping 0.662 versus 0.054. One protocol deviation is disclosed rather than glossed (pre-registration §8): the blindness exclusion was applied prompt-wide — the five quoted prompts removed from all ten aliases — instead of to the ≤10 pre-specified (alias, prompt) items, which under the pre-registration’s strict letter voids the clean confirmatory badge, so this is reported as an Outcome-J–consistent validation carrying one disclosed deviation rather than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are asymmetric in kind: the regex detected 2 of the annotator’s 63 full refusals (the missed refusals are typically long, polite, lecture-style declinations carrying none of the template phrases), whereas the judge caught 61 of 63 and errs by over-flagging, with its over-flags concentrated on the genuinely subjective partial-versus-full boundary (three-class exact agreement 0.695). Three bounds are disclosed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 a timing disclosed rather than argued from. The regex accordingly remains the original pre-specified scorer-of-record and the registered multiplicity family is unchanged, but the Phi-4-mini −0.048 contrast is carried as most plausibly a measurement artifact of the regex scorer, with the §6.7 validation-informed parallel family giving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(0.044–0.086 across the five),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likewise grounded by a completed 200-item blinded audit (judge strict κ 0.485 vs regex −0.006, a mechanical Outcome J carried with one disclosed protocol deviation, prereg §8); both groundings rest on a single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 HarmBench harmful compliance (classifier κ 0.59 vs regex 0.11 against human labels) and the XSTest refusal gold set, now completed as well (200 items, blinded, a mechanical Outcome J carried with one disclosed protocol deviation, prereg §8: the judge aligns substantially better with the annotator than the regex). The open-weight guard-model cross-check (Llama Guard [21]) has since been run as a third judge (§7.2), so the residual on that axis is the annotator, not the instrument.</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 not reproduced by an independent refusal judge that a blinded human audit finds substantially better aligned with the annotator, and absent from the validation-informed parallel correction, under which only the two capability losses survive.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[19]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[20]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[21]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[22]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[23]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[24]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[25]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[22]: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[23], [24]) and is packaged for reuse in line with open-source-software peer-review norms [25].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2026-07-20T14:15:59.916Z</dcterms:created>
  <dcterms:modified xsi:type="dcterms:W3CDTF">2026-07-20T14:15:59.917Z</dcterms:modified>
</cp:coreProperties>
</file>

<file path=docProps/custom.xml><?xml version="1.0" encoding="utf-8"?>
<Properties xmlns="http://schemas.openxmlformats.org/officeDocument/2006/custom-properties" xmlns:vt="http://schemas.openxmlformats.org/officeDocument/2006/docPropsVTypes"/>
</file>