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18 June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295 automated tests</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 its research design, experimental methodology, analysis, and interpretation —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18 June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 most commonly four-bit — has become the de facto method for fitting them into available memory. Quantization is not behaviourally neutral: it can alter safety alignment, refusal calibration, and general capability. Yet reports disagree, and a deeper problem confounds them: a quantized model can differ from its baseline for reasons other than quantization (different checkpoints, decoding, or scoring), and a brittle refusal-matching scorer can over-count “attack success.” This thesis asks whether the safety changes attributed to quantization are genuine alignment shifts or artefacts of capability loss and invalid scoring.</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 baseline and quantized members are loaded from identical weights, with quantization applied on the fly at load time —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refusal regex systematically over-counts harmful compliance, and validating against the benchmark’s own classifier relocates the study’s single statistically significant effect from one model to another — a cautionary result for safety evaluation. Second, empirically, under four-bit NF4 the only significant increase in harmful compliance is in the smallest model (Qwen3-1.7B, ΔASR = +0.055), and it is modest, borderline, and judge-dependent; quantization never significantly reduces harmful compliance, and capability loss, where significant, accompanies it. Third, extending to a three-precision sweep shows the effect is not a smooth function of bit-width: capability loss is a clean cliff at four-bit (no INT8 capability delta is significant for any pair), whereas the safety effect is sparse and method-specific — a second, both-judge-significant increase appears in Llama-3B specifically at INT8 and vanishes at NF4. The framework reliably separates the two failure modes, and the overall picture is a rigorous null with small, model- and method-specific effects rather than a uniform “quantization breaks safety” narrative.</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per-pair deltas and interpretation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For compact models in the one-to-seven-billion-parameter range — the models most likely to run locally —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Two difficulties make this question hard to answer credibly. The first is confounding: a quantized model can differ from a full-precision one for reasons that have nothing to do with quantization —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A study that does not control both confounding and scoring validity cannot distinguish a genuine alignment shift from a capability artefact or a scoring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thesis makes three contributions. First, a methodological one: a capability-anchored, judge-validated procedure for distinguishing genuine alignment shifts from capability degradation under quantization — and the finding that a refusal-counting scorer systematically over-counts attack success, relocating the study’s one significant effect once the benchmark’s own classifier is used. Second, an empirical one: across five matched pairs, four families, and three precisions, capability loss is a clean cliff at four-bit while the safety effect is sparse, model- and method-specific rather than a smooth function of bit-width. Third, an engineering one: an open, reproducible, extensible framework (matched-pair loading, a benchmark-plugin contract, a judge-validation layer, and cluster orchestration)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and LLM.int8(), an eight-bit mixed-precision scheme that keeps outlier dimensions in higher precision. While the accuracy cost of these methods is well characterised, their effect on safety behaviour is contested. Empirical studies report mixed and method-dependent results: some find that quantization degrades safety or fairness, others find no consistent trend across bit-widths, and several emphasise that the direction depends on the method and the model (e.g. Kharinaev et al. 2025; “A Comprehensive Evaluation of Quantization Strategies for LLMs” 2024).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(Mazeika et al. 2024) provides a standardised red-teaming benchmark with an explicit behaviour taxonomy and, crucially, a fine-tuned classifier that scores whether a response actually exhibits the harmful behaviour — a deliberate move away from refusal-string matching. XSTest (Röttger et al. 2024) measures the opposite failure mode, over-refusal on benign prompts. Holistic frameworks such as HELM (Liang et al. 2022) formalise the idea that evaluation should be multi-metric and transparent. This thesis adopts HarmBench’s classifier-as-scorer principle as its primary instrument and treats refusal-matching only as a foil.</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(e.g. Gu et al. 2024) and critical studies (“No Free Labels: Limitations of LLM-as-a-Judge Without Human Grounding” 2025) recommend reporting chance-corrected agreement (Cohen’s κ) rather than raw accuracy, using more than one judge, and acknowledging that without human grounding a judge can be systematically biased. This thesis follows that guidance — a primary classifier, a second independent judge, κ reporting, and bootstrap confidence intervals — and is explicit about the one safeguard it does not have (human-label validation).</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Existing work evaluates either full-precision models, or quantized models without controlling for confounds and scoring validity, or quantization accuracy without safety. No prior study, to the author’s knowledge, combines a matched-pair design, a judge-validated primary scorer with an independent cross-check, a capability anchor to separate alignment from capability, and a multi-precision sweep, on compact models across families. That combination is the gap this thesis fills.</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and over-refusal capture safety; MMLU and ARC-Challenge capture capability, with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run in full precision so that the reference instrument is not itself confounded by quantization. A second, architecturally independent judge (GPT-4o) re-scores the same generations as a robustness check.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regex (the HarmBench classifier judges harmful compliance only).</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Deltas carry paired-bootstrap 95% confidence intervals (2,000 resamples, seed 42), resampled by prompt identity so that both members of a pair see the same prompts in the same order. The single load-bearing effect is additionally tested with McNemar’s exact paired test, and a multi-seed sensitivity arm (temperature 0.7) estimates generation-level variance for that pair. Significance flags are nominal and uncorrected for multiple comparisons; this is stated wherever significance is claimed.</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A suite of 295 automated tests covers the schema, loaders, scorers, analysis mathematics, and the cluster job generator.</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128</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295 automated tests</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and the judge validation ran first; the INT8 precision point and its judge ran subsequently on the same cluster with identical methodology. The GPT-4o second judge runs locally against an API. The study’s entire analysis is reproducible from the committed redacted sidecars without a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between the regex and the classifier is poor for the Qwen and Mistral models and good for Llama and Phi (Table 6.1), because models that produce a large volume of ambiguous, non-refusing-but-benign text are exactly those the regex mis-scores. Adopting the classifier relocates the study’s single significant effect from one model (under the regex) to another (under the classifier). This is the thesis’s central methodological result: in safety evaluation, the choice of scorer is not a detail but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 – 0.37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poor — regex over-counts heavily</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worst — v2 0.885 vs judge 0.375</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0.68 – 0.79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0.59 – 0.67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moderate</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w:t>
      </w:r>
    </w:p>
    <w:p>
      <w:pPr>
        <w:pStyle w:val="Heading2"/>
        <w:spacing w:after="140" w:before="200"/>
      </w:pPr>
      <w:r>
        <w:rPr>
          <w:rFonts w:ascii="Times New Roman" w:cs="Times New Roman" w:eastAsia="Times New Roman" w:hAnsi="Times New Roman"/>
          <w:b/>
          <w:bCs/>
          <w:sz w:val="27"/>
          <w:szCs w:val="27"/>
        </w:rPr>
        <w:t xml:space="preserve">6.2  Main study (fp16 vs NF4)</w:t>
      </w:r>
    </w:p>
    <w:p>
      <w:pPr>
        <w:spacing w:after="160" w:line="276"/>
        <w:jc w:val="both"/>
      </w:pPr>
      <w:r>
        <w:rPr>
          <w:rFonts w:ascii="Times New Roman" w:cs="Times New Roman" w:eastAsia="Times New Roman" w:hAnsi="Times New Roman"/>
          <w:sz w:val="24"/>
          <w:szCs w:val="24"/>
        </w:rPr>
        <w:t xml:space="preserve">Under the primary classifier, NF4 quantization never significantly reduces harmful compliance, and the only significant increase is in the smallest model, Qwen3-1.7B (ΔASR = +0.055, CI [+0.010, +0.100]). That pair also loses significant capability, so it is labelled broad_degradation. The remaining pairs show no significant safety change.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 [+0.010,+0.100]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+0.025 [−0.000,+0.055]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[−0.020,+0.020]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[−0.110,+0.025]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[−0.030,+0.030]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r>
    </w:tbl>
    <w:p>
      <w:pPr>
        <w:spacing w:after="200" w:before="60"/>
        <w:jc w:val="center"/>
      </w:pPr>
      <w:r>
        <w:rPr>
          <w:rFonts w:ascii="Times New Roman" w:cs="Times New Roman" w:eastAsia="Times New Roman" w:hAnsi="Times New Roman"/>
          <w:i/>
          <w:iCs/>
          <w:sz w:val="20"/>
          <w:szCs w:val="20"/>
        </w:rPr>
        <w:t xml:space="preserve">Table 6.2  Main study: per-pair deltas and interpretation labels (fp16 vs NF4). Bold-zero CIs exclude zero.</w:t>
      </w:r>
    </w:p>
    <w:p>
      <w:pPr>
        <w:spacing w:after="160" w:line="276"/>
        <w:jc w:val="both"/>
      </w:pPr>
      <w:r>
        <w:rPr>
          <w:rFonts w:ascii="Times New Roman" w:cs="Times New Roman" w:eastAsia="Times New Roman" w:hAnsi="Times New Roman"/>
          <w:sz w:val="24"/>
          <w:szCs w:val="24"/>
        </w:rPr>
        <w:t xml:space="preserve">The Qwen3-1.7B effect, though significant, is modest and fragile: it is corroborated by McNemar’s exact test (p = 0.027) but is not significant under the GPT-4o second judge, and a multi-seed arm attenuates it to roughly half the greedy estimate (mean +0.024). It should be read as the upper end of a decode-dependent range, not a fixed effect (RQ1, RQ4).</w:t>
      </w:r>
    </w:p>
    <w:p>
      <w:pPr>
        <w:pStyle w:val="Heading2"/>
        <w:spacing w:after="140" w:before="200"/>
      </w:pPr>
      <w:r>
        <w:rPr>
          <w:rFonts w:ascii="Times New Roman" w:cs="Times New Roman" w:eastAsia="Times New Roman" w:hAnsi="Times New Roman"/>
          <w:b/>
          <w:bCs/>
          <w:sz w:val="27"/>
          <w:szCs w:val="27"/>
        </w:rPr>
        <w:t xml:space="preserve">6.3  Capability anchoring (RQ3)</w:t>
      </w:r>
    </w:p>
    <w:p>
      <w:pPr>
        <w:spacing w:after="160" w:line="276"/>
        <w:jc w:val="both"/>
      </w:pPr>
      <w:r>
        <w:rPr>
          <w:rFonts w:ascii="Times New Roman" w:cs="Times New Roman" w:eastAsia="Times New Roman" w:hAnsi="Times New Roman"/>
          <w:sz w:val="24"/>
          <w:szCs w:val="24"/>
        </w:rPr>
        <w:t xml:space="preserve">Every pair loses capability under NF4 in direction; the loss is significant on at least one benchmark for Qwen3-1.7B (MMLU), Qwen3-4B (ARC), and Llama-3B (both). The two capability benchmarks diverge informatively: Qwen3-1.7B’s large MMLU drop does not replicate on ARC, so the dramatic within-Qwen scale gap is partly MMLU-specific. The capability anchor is what allows the safety deltas to be read correctly — the smallest Qwen pair degrades on both axes, while no pair shows a safety “improvement” that is really capability collapse.</w:t>
      </w:r>
    </w:p>
    <w:p>
      <w:pPr>
        <w:pStyle w:val="Heading2"/>
        <w:spacing w:after="140" w:before="200"/>
      </w:pPr>
      <w:r>
        <w:rPr>
          <w:rFonts w:ascii="Times New Roman" w:cs="Times New Roman" w:eastAsia="Times New Roman" w:hAnsi="Times New Roman"/>
          <w:b/>
          <w:bCs/>
          <w:sz w:val="27"/>
          <w:szCs w:val="27"/>
        </w:rPr>
        <w:t xml:space="preserve">6.4  Mechanism: refusal-margin geometry</w:t>
      </w:r>
    </w:p>
    <w:p>
      <w:pPr>
        <w:spacing w:after="160" w:line="276"/>
        <w:jc w:val="both"/>
      </w:pPr>
      <w:r>
        <w:rPr>
          <w:rFonts w:ascii="Times New Roman" w:cs="Times New Roman" w:eastAsia="Times New Roman" w:hAnsi="Times New Roman"/>
          <w:sz w:val="24"/>
          <w:szCs w:val="24"/>
        </w:rPr>
        <w:t xml:space="preserve">To probe why the smallest model moves, a derived analysis measured each model’s first-token refusal margin in fp16 and under NF4. A thin baseline margin does predict which prompts flip, but only weakly within a family, and the flips are symmetric — quantization destabilises the decision boundary in both directions rather than eroding refusals one-directionally. For the one moving pair,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6.5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no INT8 MMLU or ARC delta is significant for any pair, while the significant capability losses are all at NF4. On safety the picture is two-peaked and method-specific: the study’s two significant ASR moves sit at different precisions. Qwen3-1.7B’s increase is a four-bit (NF4) effect, while a second increase appears in Llama-3B specifically at INT8 (ΔASR = +0.040) that is significant under both judges and McNemar (p = 0.022 classifier, 0.008 GPT-4o) yet non-monotonic — it reverts to baseline at NF4.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0.135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rising; only NF4 significant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 fp16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spike, reverts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0.345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falling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w:t>
      </w:r>
    </w:p>
    <w:p>
      <w:pPr>
        <w:spacing w:after="160" w:line="276"/>
        <w:jc w:val="both"/>
      </w:pPr>
      <w:r>
        <w:rPr>
          <w:rFonts w:ascii="Times New Roman" w:cs="Times New Roman" w:eastAsia="Times New Roman" w:hAnsi="Times New Roman"/>
          <w:sz w:val="24"/>
          <w:szCs w:val="24"/>
        </w:rPr>
        <w:t xml:space="preserve">The Llama INT8 effect is real but bounded: it rests on roughly eight to nine prompts, concentrated in the illegal and cybercrime categories, on a single pair, and it does not persist to the more aggressive four-bit method. It is therefore reported as a method-specific numerical effect of the LLM.int8 algorithm on this model, not a general law — the honest, calibrated reading.</w:t>
      </w:r>
    </w:p>
    <w:p>
      <w:pPr>
        <w:pStyle w:val="Heading2"/>
        <w:spacing w:after="140" w:before="200"/>
      </w:pPr>
      <w:r>
        <w:rPr>
          <w:rFonts w:ascii="Times New Roman" w:cs="Times New Roman" w:eastAsia="Times New Roman" w:hAnsi="Times New Roman"/>
          <w:b/>
          <w:bCs/>
          <w:sz w:val="27"/>
          <w:szCs w:val="27"/>
        </w:rPr>
        <w:t xml:space="preserve">6.6  Statistical caveats</w:t>
      </w:r>
    </w:p>
    <w:p>
      <w:pPr>
        <w:spacing w:after="160" w:line="276"/>
        <w:jc w:val="both"/>
      </w:pPr>
      <w:r>
        <w:rPr>
          <w:rFonts w:ascii="Times New Roman" w:cs="Times New Roman" w:eastAsia="Times New Roman" w:hAnsi="Times New Roman"/>
          <w:sz w:val="24"/>
          <w:szCs w:val="24"/>
        </w:rPr>
        <w:t xml:space="preserve">Three caveats bound the conclusions. With 200 HarmBench prompts the confidence intervals are wide (about ±0.05), so small deltas are not distinguishable from zero. Significance is nominal and uncorrected for multiple comparisons — across the sweep roughly thirty Attack-Success-Rate comparisons are made, so the single significant NF4 delta (Qwen3-1.7B, p = 0.027) is a nominal result that would not survive a strict family-wise correction; it is carried as the headline only because it is independently corroborated by McNemar, a multi-seed arm, and (in direction) the second judge. The Llama INT8 effect, significant under two judges and two tests, is the more multiplicity-robust of the two. The reader is asked to weigh this converging evidence rather than any single per-comparison threshold.</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not sweeping, claims. NF4 never makes these models safer on harmful compliance, and only the smallest model becomes significantly less safe; over-refusal does not rise (the only significant change is a decrease); capability loss is real but modest and partly benchmark-specific; and the cross-precision picture is that effects are method- and model-specific, not graded with bit-width. For deployment, the practical message is that eight-bit quantization is essentially free on these axes, whereas four-bit carries a small, model-specific risk that should be measured per model rather than assumed.</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(κ 0.69–0.94) shows the finding is not an artefact of one classifier. The residual construct threat is that both judges are themselves LLMs without independent human-label validation; this is disclosed and flagged for future work. Over-refusal remains regex-scored, a known weaker construct.</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and two bitsandbytes methods; the cross-family and cross-precision sweeps widen it but do not make it general. Statistical-conclusion validity is bounded by sample size and uncorrected multiplicity, addressed by reporting intervals, McNemar corroboration, a multi-seed arm, and an explicit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Sample size: 200 HarmBench prompts give wide (±~0.05) confidence intervals; small deltas are not distinguishable from zero.</w:t>
      </w:r>
    </w:p>
    <w:p>
      <w:pPr>
        <w:pStyle w:val="ListParagraph"/>
        <w:numPr>
          <w:ilvl w:val="0"/>
          <w:numId w:val="3"/>
        </w:numPr>
        <w:spacing w:after="80" w:line="276"/>
      </w:pPr>
      <w:r>
        <w:rPr>
          <w:rFonts w:ascii="Times New Roman" w:cs="Times New Roman" w:eastAsia="Times New Roman" w:hAnsi="Times New Roman"/>
          <w:sz w:val="24"/>
          <w:szCs w:val="24"/>
        </w:rPr>
        <w:t xml:space="preserve">Multiple comparisons: significance flags are nominal and uncorrected; the one significant NF4 delta would not survive strict family-wise correction (it is corroborated by other tests).</w:t>
      </w:r>
    </w:p>
    <w:p>
      <w:pPr>
        <w:pStyle w:val="ListParagraph"/>
        <w:numPr>
          <w:ilvl w:val="0"/>
          <w:numId w:val="3"/>
        </w:numPr>
        <w:spacing w:after="80" w:line="276"/>
      </w:pPr>
      <w:r>
        <w:rPr>
          <w:rFonts w:ascii="Times New Roman" w:cs="Times New Roman" w:eastAsia="Times New Roman" w:hAnsi="Times New Roman"/>
          <w:sz w:val="24"/>
          <w:szCs w:val="24"/>
        </w:rPr>
        <w:t xml:space="preserve">Decoding: results condition on a single greedy decode; the multi-seed arm covers only the load-bearing pair.</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treated as reference without independent human-label validation; the second judge is a partial cross-check.</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are out of scope.</w:t>
      </w:r>
    </w:p>
    <w:p>
      <w:pPr>
        <w:pStyle w:val="ListParagraph"/>
        <w:numPr>
          <w:ilvl w:val="0"/>
          <w:numId w:val="3"/>
        </w:numPr>
        <w:spacing w:after="80" w:line="276"/>
      </w:pPr>
      <w:r>
        <w:rPr>
          <w:rFonts w:ascii="Times New Roman" w:cs="Times New Roman" w:eastAsia="Times New Roman" w:hAnsi="Times New Roman"/>
          <w:sz w:val="24"/>
          <w:szCs w:val="24"/>
        </w:rPr>
        <w:t xml:space="preserve">The INT8 Llama effect rests on ~8–9 prompts on one pair and is non-monotonic; it is reported as suggestive and method-specific, not general.</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276"/>
      </w:pPr>
      <w:r>
        <w:rPr>
          <w:rFonts w:ascii="Times New Roman" w:cs="Times New Roman" w:eastAsia="Times New Roman" w:hAnsi="Times New Roman"/>
          <w:sz w:val="24"/>
          <w:szCs w:val="24"/>
        </w:rPr>
        <w:t xml:space="preserve">Human-grounded judge validation, to remove the residual construct threat on the primary scorer.</w:t>
      </w:r>
    </w:p>
    <w:p>
      <w:pPr>
        <w:pStyle w:val="ListParagraph"/>
        <w:numPr>
          <w:ilvl w:val="0"/>
          <w:numId w:val="4"/>
        </w:numPr>
        <w:spacing w:after="80" w:line="276"/>
      </w:pPr>
      <w:r>
        <w:rPr>
          <w:rFonts w:ascii="Times New Roman" w:cs="Times New Roman" w:eastAsia="Times New Roman" w:hAnsi="Times New Roman"/>
          <w:sz w:val="24"/>
          <w:szCs w:val="24"/>
        </w:rPr>
        <w:t xml:space="preserve">Replication of the INT8 Llama effect across more models and decode seeds, to establish whether it is a general LLM.int8 phenomenon or model-specific numerics.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not only the behavioural metrics.</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GGUF)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An independent activation-space refusal-direction probe and a paired neutral-margin control with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and invalid scoring. By combining a matched-pair design, a judge-validated primary scorer with an independent cross-check, a capability anchor, and a multi-precision sweep, it reaches a calibrated answer. The dominant result is a rigorous null with small, model- and method-specific effects: NF4 never makes these models safer; only the smallest model becomes significantly more harmful, and modestly so; capability loss is a clean cliff at four-bit; and the safety effect is two-peaked and method-specific rather than graded with bit-width.</w:t>
      </w:r>
    </w:p>
    <w:p>
      <w:pPr>
        <w:spacing w:after="160" w:line="276"/>
        <w:jc w:val="both"/>
      </w:pPr>
      <w:r>
        <w:rPr>
          <w:rFonts w:ascii="Times New Roman" w:cs="Times New Roman" w:eastAsia="Times New Roman" w:hAnsi="Times New Roman"/>
          <w:sz w:val="24"/>
          <w:szCs w:val="24"/>
        </w:rPr>
        <w:t xml:space="preserve">Its most transferable lesson is methodological: a refusal-counting scorer over-states harmful compliance and, uncorrected, can place the study’s significant finding on the wrong model — so safety evaluation should validate its scorer against the benchmark’s own classifier and a second judge, report chance-corrected agreement, and resist over-claiming on small, borderline effects. The open, reproducible framework that produced these results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pStyle w:val="ListParagraph"/>
        <w:numPr>
          <w:ilvl w:val="0"/>
          <w:numId w:val="5"/>
        </w:numPr>
        <w:spacing w:after="80" w:line="276"/>
      </w:pPr>
      <w:r>
        <w:rPr>
          <w:rFonts w:ascii="Times New Roman" w:cs="Times New Roman" w:eastAsia="Times New Roman" w:hAnsi="Times New Roman"/>
          <w:sz w:val="24"/>
          <w:szCs w:val="24"/>
        </w:rPr>
        <w:t xml:space="preserve">Liang, P. et al. (2022). Holistic Evaluation of Language Models. arXiv:2211.09110 (TMLR 2023).</w:t>
      </w:r>
    </w:p>
    <w:p>
      <w:pPr>
        <w:pStyle w:val="ListParagraph"/>
        <w:numPr>
          <w:ilvl w:val="0"/>
          <w:numId w:val="5"/>
        </w:numPr>
        <w:spacing w:after="80" w:line="276"/>
      </w:pPr>
      <w:r>
        <w:rPr>
          <w:rFonts w:ascii="Times New Roman" w:cs="Times New Roman" w:eastAsia="Times New Roman" w:hAnsi="Times New Roman"/>
          <w:sz w:val="24"/>
          <w:szCs w:val="24"/>
        </w:rPr>
        <w:t xml:space="preserve">Mazeika, M. et al. (2024). HarmBench: A Standardized Evaluation Framework for Automated Red Teaming and Robust Refusal. ICML 2024. arXiv:2402.04249.</w:t>
      </w:r>
    </w:p>
    <w:p>
      <w:pPr>
        <w:pStyle w:val="ListParagraph"/>
        <w:numPr>
          <w:ilvl w:val="0"/>
          <w:numId w:val="5"/>
        </w:numPr>
        <w:spacing w:after="80" w:line="276"/>
      </w:pPr>
      <w:r>
        <w:rPr>
          <w:rFonts w:ascii="Times New Roman" w:cs="Times New Roman" w:eastAsia="Times New Roman" w:hAnsi="Times New Roman"/>
          <w:sz w:val="24"/>
          <w:szCs w:val="24"/>
        </w:rPr>
        <w:t xml:space="preserve">Röttger, P. et al. (2024). XSTest: A Test Suite for Identifying Exaggerated Safety Behaviours in Large Language Models. NAACL 2024.</w:t>
      </w:r>
    </w:p>
    <w:p>
      <w:pPr>
        <w:pStyle w:val="ListParagraph"/>
        <w:numPr>
          <w:ilvl w:val="0"/>
          <w:numId w:val="5"/>
        </w:numPr>
        <w:spacing w:after="80" w:line="276"/>
      </w:pPr>
      <w:r>
        <w:rPr>
          <w:rFonts w:ascii="Times New Roman" w:cs="Times New Roman" w:eastAsia="Times New Roman" w:hAnsi="Times New Roman"/>
          <w:sz w:val="24"/>
          <w:szCs w:val="24"/>
        </w:rPr>
        <w:t xml:space="preserve">Hendrycks, D. et al. (2021). Measuring Massive Multitask Language Understanding (MMLU). ICLR 2021.</w:t>
      </w:r>
    </w:p>
    <w:p>
      <w:pPr>
        <w:pStyle w:val="ListParagraph"/>
        <w:numPr>
          <w:ilvl w:val="0"/>
          <w:numId w:val="5"/>
        </w:numPr>
        <w:spacing w:after="80" w:line="276"/>
      </w:pPr>
      <w:r>
        <w:rPr>
          <w:rFonts w:ascii="Times New Roman" w:cs="Times New Roman" w:eastAsia="Times New Roman" w:hAnsi="Times New Roman"/>
          <w:sz w:val="24"/>
          <w:szCs w:val="24"/>
        </w:rPr>
        <w:t xml:space="preserve">Clark, P. et al. (2018). Think You Have Solved Question Answering? Try ARC, the AI2 Reasoning Challenge. arXiv:1803.05457.</w:t>
      </w:r>
    </w:p>
    <w:p>
      <w:pPr>
        <w:pStyle w:val="ListParagraph"/>
        <w:numPr>
          <w:ilvl w:val="0"/>
          <w:numId w:val="5"/>
        </w:numPr>
        <w:spacing w:after="80" w:line="276"/>
      </w:pPr>
      <w:r>
        <w:rPr>
          <w:rFonts w:ascii="Times New Roman" w:cs="Times New Roman" w:eastAsia="Times New Roman" w:hAnsi="Times New Roman"/>
          <w:sz w:val="24"/>
          <w:szCs w:val="24"/>
        </w:rPr>
        <w:t xml:space="preserve">Kharinaev, A. et al. (2025). Investigating the Impact of Quantization Methods on the Safety and Reliability of Large Language Models. arXiv:2502.15799.</w:t>
      </w:r>
    </w:p>
    <w:p>
      <w:pPr>
        <w:pStyle w:val="ListParagraph"/>
        <w:numPr>
          <w:ilvl w:val="0"/>
          <w:numId w:val="5"/>
        </w:numPr>
        <w:spacing w:after="80" w:line="276"/>
      </w:pPr>
      <w:r>
        <w:rPr>
          <w:rFonts w:ascii="Times New Roman" w:cs="Times New Roman" w:eastAsia="Times New Roman" w:hAnsi="Times New Roman"/>
          <w:sz w:val="24"/>
          <w:szCs w:val="24"/>
        </w:rPr>
        <w:t xml:space="preserve">Jin, R. et al. (2024). A Comprehensive Evaluation of Quantization Strategies for Large Language Models. arXiv:2402.16775.</w:t>
      </w:r>
    </w:p>
    <w:p>
      <w:pPr>
        <w:pStyle w:val="ListParagraph"/>
        <w:numPr>
          <w:ilvl w:val="0"/>
          <w:numId w:val="5"/>
        </w:numPr>
        <w:spacing w:after="80" w:line="276"/>
      </w:pPr>
      <w:r>
        <w:rPr>
          <w:rFonts w:ascii="Times New Roman" w:cs="Times New Roman" w:eastAsia="Times New Roman" w:hAnsi="Times New Roman"/>
          <w:sz w:val="24"/>
          <w:szCs w:val="24"/>
        </w:rPr>
        <w:t xml:space="preserve">Proskurina, I. et al. (2024). When Quantization Affects Confidence of Large Language Models? arXiv:2405.00632.</w:t>
      </w:r>
    </w:p>
    <w:p>
      <w:pPr>
        <w:pStyle w:val="ListParagraph"/>
        <w:numPr>
          <w:ilvl w:val="0"/>
          <w:numId w:val="5"/>
        </w:numPr>
        <w:spacing w:after="80" w:line="276"/>
      </w:pPr>
      <w:r>
        <w:rPr>
          <w:rFonts w:ascii="Times New Roman" w:cs="Times New Roman" w:eastAsia="Times New Roman" w:hAnsi="Times New Roman"/>
          <w:sz w:val="24"/>
          <w:szCs w:val="24"/>
        </w:rPr>
        <w:t xml:space="preserve">Egashira, K. et al. (2024). Exploiting LLM Quantization. arXiv:2405.18137.</w:t>
      </w:r>
    </w:p>
    <w:p>
      <w:pPr>
        <w:pStyle w:val="ListParagraph"/>
        <w:numPr>
          <w:ilvl w:val="0"/>
          <w:numId w:val="5"/>
        </w:numPr>
        <w:spacing w:after="80" w:line="276"/>
      </w:pPr>
      <w:r>
        <w:rPr>
          <w:rFonts w:ascii="Times New Roman" w:cs="Times New Roman" w:eastAsia="Times New Roman" w:hAnsi="Times New Roman"/>
          <w:sz w:val="24"/>
          <w:szCs w:val="24"/>
        </w:rPr>
        <w:t xml:space="preserve">Belkhiter, Y. et al. (2024). HarmLevelBench: Evaluating Harm-Level Compliance and the Impact of Quantization. arXiv:2411.06835.</w:t>
      </w:r>
    </w:p>
    <w:p>
      <w:pPr>
        <w:pStyle w:val="ListParagraph"/>
        <w:numPr>
          <w:ilvl w:val="0"/>
          <w:numId w:val="5"/>
        </w:numPr>
        <w:spacing w:after="80" w:line="276"/>
      </w:pPr>
      <w:r>
        <w:rPr>
          <w:rFonts w:ascii="Times New Roman" w:cs="Times New Roman" w:eastAsia="Times New Roman" w:hAnsi="Times New Roman"/>
          <w:sz w:val="24"/>
          <w:szCs w:val="24"/>
        </w:rPr>
        <w:t xml:space="preserve">Gu, J. et al. (2024). A Survey on LLM-as-a-Judge. arXiv:2411.15594.</w:t>
      </w:r>
    </w:p>
    <w:p>
      <w:pPr>
        <w:pStyle w:val="ListParagraph"/>
        <w:numPr>
          <w:ilvl w:val="0"/>
          <w:numId w:val="5"/>
        </w:numPr>
        <w:spacing w:after="80" w:line="276"/>
      </w:pPr>
      <w:r>
        <w:rPr>
          <w:rFonts w:ascii="Times New Roman" w:cs="Times New Roman" w:eastAsia="Times New Roman" w:hAnsi="Times New Roman"/>
          <w:sz w:val="24"/>
          <w:szCs w:val="24"/>
        </w:rPr>
        <w:t xml:space="preserve">Anonymous (2025). No Free Labels: Limitations of LLM-as-a-Judge Without Human Grounding. arXiv:2503.05061.</w:t>
      </w:r>
    </w:p>
    <w:p>
      <w:pPr>
        <w:pStyle w:val="ListParagraph"/>
        <w:numPr>
          <w:ilvl w:val="0"/>
          <w:numId w:val="5"/>
        </w:numPr>
        <w:spacing w:after="80" w:line="276"/>
      </w:pPr>
      <w:r>
        <w:rPr>
          <w:rFonts w:ascii="Times New Roman" w:cs="Times New Roman" w:eastAsia="Times New Roman" w:hAnsi="Times New Roman"/>
          <w:sz w:val="24"/>
          <w:szCs w:val="24"/>
        </w:rPr>
        <w:t xml:space="preserve">Pineau, J. et al. (2021). Improving Reproducibility in Machine Learning Research (a report from the NeurIPS 2019 Reproducibility Program). JMLR 22.</w:t>
      </w:r>
    </w:p>
    <w:p>
      <w:pPr>
        <w:pStyle w:val="ListParagraph"/>
        <w:numPr>
          <w:ilvl w:val="0"/>
          <w:numId w:val="5"/>
        </w:numPr>
        <w:spacing w:after="80" w:line="276"/>
      </w:pPr>
      <w:r>
        <w:rPr>
          <w:rFonts w:ascii="Times New Roman" w:cs="Times New Roman" w:eastAsia="Times New Roman" w:hAnsi="Times New Roman"/>
          <w:sz w:val="24"/>
          <w:szCs w:val="24"/>
        </w:rPr>
        <w:t xml:space="preserve">Sandve, G. K. et al. (2013). Ten Simple Rules for Reproducible Computational Research. PLOS Computational Biology 9(10): e1003285.</w:t>
      </w:r>
    </w:p>
    <w:p>
      <w:pPr>
        <w:pStyle w:val="ListParagraph"/>
        <w:numPr>
          <w:ilvl w:val="0"/>
          <w:numId w:val="5"/>
        </w:numPr>
        <w:spacing w:after="80" w:line="276"/>
      </w:pPr>
      <w:r>
        <w:rPr>
          <w:rFonts w:ascii="Times New Roman" w:cs="Times New Roman" w:eastAsia="Times New Roman" w:hAnsi="Times New Roman"/>
          <w:sz w:val="24"/>
          <w:szCs w:val="24"/>
        </w:rPr>
        <w:t xml:space="preserve">Wilson, G. et al. (2017). Good Enough Practices in Scientific Computing. PLOS Computational Biology 13(6): e1005510.</w:t>
      </w:r>
    </w:p>
    <w:p>
      <w:pPr>
        <w:pStyle w:val="ListParagraph"/>
        <w:numPr>
          <w:ilvl w:val="0"/>
          <w:numId w:val="5"/>
        </w:numPr>
        <w:spacing w:after="80" w:line="276"/>
      </w:pPr>
      <w:r>
        <w:rPr>
          <w:rFonts w:ascii="Times New Roman" w:cs="Times New Roman" w:eastAsia="Times New Roman" w:hAnsi="Times New Roman"/>
          <w:sz w:val="24"/>
          <w:szCs w:val="24"/>
        </w:rPr>
        <w:t xml:space="preserve">Smith, A. M. et al. (2018). Journal of Open Source Software (JOSS): Design and First-Year Review. arXiv:1707.02264.</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(Pineau et al. 2021): models and algorithms are described (Chapters 3–4); datasets, splits, and sample counts are recorded in each run summary; code and pinned dependencies are released; hyper-parameters and decoding controls are recorded in every summary; the compute infrastructure is recorded; and significance procedures are specified, with multiple comparisons disclosed. Raw generations are gitignored and hash-pinned; only redacted sidecars (identifiers, booleans, scalars) are released, so the study is reproducible without redistributing harmful text.</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295 automated tests across the schema, loaders (including the fail-loud quantization guard), scorers, analysis mathematics (delta computation, paired bootstrap, McNemar, Cohen’s κ), and the SLURM job generator. Result artefacts comprise per-prompt redacted score sidecars, per-model judge summaries, and analysis files (pairwise deltas, judge agreement, the precision sweep). A checksum manifest pins the immutable raw artefacts.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2026-06-18T12:05:05.690Z</dcterms:created>
  <dcterms:modified xsi:type="dcterms:W3CDTF">2026-06-18T12:05:05.691Z</dcterms:modified>
</cp:coreProperties>
</file>

<file path=docProps/custom.xml><?xml version="1.0" encoding="utf-8"?>
<Properties xmlns="http://schemas.openxmlformats.org/officeDocument/2006/custom-properties" xmlns:vt="http://schemas.openxmlformats.org/officeDocument/2006/docPropsVTypes"/>
</file>